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1600"/>
        <w:jc w:val="center"/>
      </w:pPr>
      <w:r>
        <w:t>CODA ATER</w:t>
      </w:r>
    </w:p>
    <w:p>
      <w:pPr>
        <w:widowControl/>
        <w:jc w:val="center"/>
      </w:pPr>
      <w:r>
        <w:t>Version II — Seuils collectifs de l’eau</w:t>
      </w:r>
    </w:p>
    <w:p>
      <w:pPr>
        <w:widowControl/>
        <w:spacing w:before="240"/>
        <w:jc w:val="center"/>
      </w:pPr>
      <w:r>
        <w:rPr>
          <w:rFonts w:ascii="Aptos" w:hAnsi="Aptos"/>
          <w:i/>
          <w:color w:val="667074"/>
          <w:sz w:val="28"/>
        </w:rPr>
        <w:t>Du modèle de « liquide cohérent » à un programme falsifiable de dynamique collective</w:t>
      </w:r>
    </w:p>
    <w:p>
      <w:pPr>
        <w:widowControl/>
        <w:spacing w:before="1100"/>
        <w:jc w:val="center"/>
      </w:pPr>
      <w:r>
        <w:t>Version destinée à la discussion scientifique avec Luca et Jean-François</w:t>
      </w:r>
    </w:p>
    <w:p>
      <w:pPr>
        <w:widowControl/>
        <w:jc w:val="center"/>
      </w:pPr>
      <w:r>
        <w:t>Michel Vandenberghe &amp; ZEON · Version 2.0 · 8 septembre 2026</w:t>
      </w:r>
    </w:p>
    <w:tbl>
      <w:tblPr>
        <w:tblW w:type="auto" w:w="0"/>
        <w:jc w:val="center"/>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r>
              <w:rPr>
                <w:rFonts w:ascii="Aptos" w:hAnsi="Aptos"/>
                <w:b/>
                <w:color w:val="506A62"/>
              </w:rPr>
              <w:t xml:space="preserve">Contrat épistémologique. </w:t>
            </w:r>
            <w:r>
              <w:rPr>
                <w:rFonts w:ascii="Aptos" w:hAnsi="Aptos"/>
              </w:rPr>
              <w:t>Coda Ater ne cherche plus à démontrer l’existence d’une « eau cohérente ». Il cherche les conditions dans lesquelles une hypothèse de régime collectif nouveau deviendrait nécessaire — ou pourrait être rejetée.</w:t>
            </w:r>
          </w:p>
        </w:tc>
      </w:tr>
    </w:tbl>
    <w:p>
      <w:pPr>
        <w:widowControl/>
        <w:spacing w:after="0"/>
      </w:pPr>
    </w:p>
    <w:p>
      <w:pPr>
        <w:widowControl/>
      </w:pPr>
      <w:r/>
    </w:p>
    <w:p>
      <w:pPr>
        <w:pStyle w:val="Heading1"/>
        <w:widowControl/>
      </w:pPr>
      <w:r>
        <w:rPr>
          <w:rFonts w:ascii="Aptos" w:hAnsi="Aptos"/>
          <w:b/>
        </w:rPr>
        <w:t>Sommaire</w:t>
      </w:r>
    </w:p>
    <w:p>
      <w:pPr>
        <w:widowControl/>
        <w:spacing w:after="40"/>
      </w:pPr>
      <w:r>
        <w:t>1. Note d’ouverture à Luca et Jean-François</w:t>
      </w:r>
    </w:p>
    <w:p>
      <w:pPr>
        <w:widowControl/>
        <w:spacing w:after="40"/>
      </w:pPr>
      <w:r>
        <w:t>2. Résumé exécutif</w:t>
      </w:r>
    </w:p>
    <w:p>
      <w:pPr>
        <w:widowControl/>
        <w:spacing w:after="40"/>
      </w:pPr>
      <w:r>
        <w:t>3. Le retournement de méthode : des phases postulées aux observables</w:t>
      </w:r>
    </w:p>
    <w:p>
      <w:pPr>
        <w:widowControl/>
        <w:spacing w:after="40"/>
      </w:pPr>
      <w:r>
        <w:t>4. Coda Ater II : variables collectives et espace d’états</w:t>
      </w:r>
    </w:p>
    <w:p>
      <w:pPr>
        <w:widowControl/>
        <w:spacing w:after="40"/>
      </w:pPr>
      <w:r>
        <w:t>5. Modèle mathématique minimal</w:t>
      </w:r>
    </w:p>
    <w:p>
      <w:pPr>
        <w:widowControl/>
        <w:spacing w:after="40"/>
      </w:pPr>
      <w:r>
        <w:t>6. Grammaire des seuils appliquée à l’eau</w:t>
      </w:r>
    </w:p>
    <w:p>
      <w:pPr>
        <w:widowControl/>
        <w:spacing w:after="40"/>
      </w:pPr>
      <w:r>
        <w:t>7. Deux axes à ne plus confondre : organisation et nature quantique</w:t>
      </w:r>
    </w:p>
    <w:p>
      <w:pPr>
        <w:widowControl/>
        <w:spacing w:after="40"/>
      </w:pPr>
      <w:r>
        <w:t>8. Programme numérique</w:t>
      </w:r>
    </w:p>
    <w:p>
      <w:pPr>
        <w:widowControl/>
        <w:spacing w:after="40"/>
      </w:pPr>
      <w:r>
        <w:t>9. Programme expérimental</w:t>
      </w:r>
    </w:p>
    <w:p>
      <w:pPr>
        <w:widowControl/>
        <w:spacing w:after="40"/>
      </w:pPr>
      <w:r>
        <w:t>10. Hiérarchie d’hypothèses et critères de preuve</w:t>
      </w:r>
    </w:p>
    <w:p>
      <w:pPr>
        <w:widowControl/>
        <w:spacing w:after="40"/>
      </w:pPr>
      <w:r>
        <w:t>11. Prédictions et réfutations décisives</w:t>
      </w:r>
    </w:p>
    <w:p>
      <w:pPr>
        <w:widowControl/>
        <w:spacing w:after="40"/>
      </w:pPr>
      <w:r>
        <w:t>12. Ce que Coda Ater II ne prétend pas démontrer</w:t>
      </w:r>
    </w:p>
    <w:p>
      <w:pPr>
        <w:widowControl/>
        <w:spacing w:after="40"/>
      </w:pPr>
      <w:r>
        <w:t>13. Questions proposées à Luca et Jean-François</w:t>
      </w:r>
    </w:p>
    <w:p>
      <w:pPr/>
      <w:r>
        <w:t>14. Conclusion — un programme à éprouver</w:t>
      </w:r>
    </w:p>
    <w:p>
      <w:pPr>
        <w:widowControl/>
        <w:spacing w:after="40"/>
      </w:pPr>
      <w:r>
        <w:rPr>
          <w:rFonts w:ascii="Aptos" w:hAnsi="Aptos"/>
          <w:i w:val="0"/>
        </w:rPr>
        <w:t>Références</w:t>
      </w:r>
    </w:p>
    <w:p>
      <w:pPr>
        <w:widowControl/>
        <w:spacing w:after="40"/>
      </w:pPr>
      <w:r>
        <w:t>Annexe A. Dérivations et indicateurs</w:t>
      </w:r>
    </w:p>
    <w:p>
      <w:pPr>
        <w:widowControl/>
        <w:spacing w:after="40"/>
      </w:pPr>
      <w:r>
        <w:t>Annexe B. Transduction ZEON — séparée du modèle physique</w:t>
      </w:r>
    </w:p>
    <w:p>
      <w:pPr>
        <w:widowControl/>
        <w:spacing w:after="40"/>
      </w:pPr>
      <w:r>
        <w:t>Annexe C. Coda Ater I (juin 2025) — fac-similé intégral et note critique</w:t>
      </w:r>
    </w:p>
    <w:p>
      <w:pPr>
        <w:widowControl/>
      </w:pPr>
      <w:r/>
    </w:p>
    <w:p>
      <w:pPr>
        <w:pStyle w:val="Heading1"/>
        <w:widowControl/>
      </w:pPr>
      <w:r>
        <w:t>1. Note d’ouverture à Luca et Jean-François</w:t>
      </w:r>
    </w:p>
    <w:p>
      <w:pPr>
        <w:widowControl/>
        <w:spacing w:after="160"/>
      </w:pPr>
      <w:r>
        <w:rPr>
          <w:rFonts w:ascii="Aptos" w:hAnsi="Aptos"/>
          <w:i w:val="0"/>
        </w:rPr>
        <w:t>Amis,</w:t>
      </w:r>
    </w:p>
    <w:p>
      <w:pPr>
        <w:widowControl/>
        <w:spacing w:after="120"/>
      </w:pPr>
      <w:r>
        <w:rPr>
          <w:rFonts w:ascii="Aptos" w:hAnsi="Aptos"/>
          <w:i w:val="0"/>
        </w:rPr>
        <w:t>Coda Ater est né en juin 2025 d’une question ambitieuse : pouvait-on dépasser une description classique jugée insuffisante et construire une thermodynamique de l’eau distinguant vapeur, liquide ordinaire et un éventuel régime liquide collectif ou « cohérent » ? Le premier texte a proposé une voie : potentiel microscopique, traitement bosonique de type Bogoliubov pour une phase cohérente hypothétique, puis combinaison avec une composante incohérente et recherche des coexistences.</w:t>
      </w:r>
    </w:p>
    <w:p>
      <w:pPr>
        <w:widowControl/>
        <w:spacing w:after="120"/>
      </w:pPr>
      <w:r>
        <w:rPr>
          <w:rFonts w:ascii="Aptos" w:hAnsi="Aptos"/>
          <w:i w:val="0"/>
        </w:rPr>
        <w:t>En le reprenant aujourd’hui, nous avons choisi de ne pas défendre le résultat initial. Nous avons au contraire essayé de le casser. Ce travail a fait apparaître des fragilités sérieuses — domaine de validité du modèle bosonique, interpolation thermodynamique ad hoc, dérivations incohérentes de l’entropie et de l’énergie, extension trop rapide vers l’eau biologique — mais aussi une intuition qui mérite d’être préservée : chercher des changements de régime collectif dans l’eau à partir des interactions microscopiques plutôt que plaquer une troisième phase sur l’équation d’état.</w:t>
      </w:r>
    </w:p>
    <w:p>
      <w:pPr>
        <w:widowControl/>
        <w:spacing w:after="120"/>
      </w:pPr>
      <w:r>
        <w:rPr>
          <w:rFonts w:ascii="Aptos" w:hAnsi="Aptos"/>
          <w:i w:val="0"/>
        </w:rPr>
        <w:t>Le présent document propose donc Coda Ater II. Il n’affirme pas une nouvelle phase. Il construit un programme où une nouvelle phase n’est que l’une des sorties possibles, après des étapes plus modestes et mesurables : corrélation, extension spatiale des modes, persistance temporelle, autonomie d’une variable collective, fermeture dynamique, puis seulement caractère quantique éventuel.</w:t>
      </w:r>
    </w:p>
    <w:p>
      <w:pPr>
        <w:widowControl/>
        <w:spacing w:after="120"/>
      </w:pPr>
      <w:r>
        <w:rPr>
          <w:rFonts w:ascii="Aptos" w:hAnsi="Aptos"/>
          <w:i w:val="0"/>
        </w:rPr>
        <w:t>Nous vous le soumettons comme un objet à attaquer : quelles variables sont mal choisies ? quel formalisme est trop naïf ? quel test éliminerait le plus vite l’hypothèse ? et, inversement, quel signal vous obligerait à admettre qu’un nouveau degré de liberté collectif est réellement apparu ?</w:t>
      </w:r>
    </w:p>
    <w:p>
      <w:pPr>
        <w:pStyle w:val="Heading1"/>
        <w:widowControl/>
      </w:pPr>
      <w:r>
        <w:t>2. Résumé exécutif</w:t>
      </w:r>
    </w:p>
    <w:p>
      <w:pPr>
        <w:widowControl/>
        <w:spacing w:after="120"/>
      </w:pPr>
      <w:r>
        <w:rPr>
          <w:rFonts w:ascii="Aptos" w:hAnsi="Aptos"/>
          <w:i w:val="0"/>
        </w:rPr>
        <w:t>Coda Ater II repose sur cinq décisions de méthode :</w:t>
      </w:r>
    </w:p>
    <w:p>
      <w:pPr>
        <w:pStyle w:val="ListBullet"/>
        <w:widowControl/>
        <w:spacing w:after="60"/>
      </w:pPr>
      <w:r>
        <w:rPr>
          <w:rFonts w:ascii="Aptos" w:hAnsi="Aptos"/>
        </w:rPr>
        <w:t>Ne plus postuler une « phase cohérente » comme point de départ. Partir de l’eau ordinaire, des observables et d’un modèle de référence thermodynamique.</w:t>
      </w:r>
    </w:p>
    <w:p>
      <w:pPr>
        <w:pStyle w:val="ListBullet"/>
        <w:widowControl/>
        <w:spacing w:after="60"/>
      </w:pPr>
      <w:r>
        <w:rPr>
          <w:rFonts w:ascii="Aptos" w:hAnsi="Aptos"/>
        </w:rPr>
        <w:t>Séparer organisation collective et nature quantique. Un mode peut être collectif sans être quantiquement cohérent ; un effet quantique local ne constitue pas une phase collective.</w:t>
      </w:r>
    </w:p>
    <w:p>
      <w:pPr>
        <w:pStyle w:val="ListBullet"/>
        <w:widowControl/>
        <w:spacing w:after="60"/>
      </w:pPr>
      <w:r>
        <w:rPr>
          <w:rFonts w:ascii="Aptos" w:hAnsi="Aptos"/>
        </w:rPr>
        <w:t>Remplacer la fraction phénoménologique α(T) par des variables mesurables : structure/corrélation S ou C, délocalisation D, longueur de corrélation ξ, temps de corrélation τ, autonomie A et fermeture F.</w:t>
      </w:r>
    </w:p>
    <w:p>
      <w:pPr>
        <w:pStyle w:val="ListBullet"/>
        <w:widowControl/>
        <w:spacing w:after="60"/>
      </w:pPr>
      <w:r>
        <w:rPr>
          <w:rFonts w:ascii="Aptos" w:hAnsi="Aptos"/>
        </w:rPr>
        <w:t>Construire la thermodynamique à partir d’une énergie libre effective et vérifier stabilité, coexistence et métastabilité au lieu de moyenner arbitrairement les pressions de « phases » supposées.</w:t>
      </w:r>
    </w:p>
    <w:p>
      <w:pPr>
        <w:pStyle w:val="ListBullet"/>
        <w:widowControl/>
        <w:spacing w:after="60"/>
      </w:pPr>
      <w:r>
        <w:rPr>
          <w:rFonts w:ascii="Aptos" w:hAnsi="Aptos"/>
        </w:rPr>
        <w:t>Rendre l’ensemble falsifiable avec une hiérarchie H0→H4 allant de l’eau conventionnelle à une éventuelle nouvelle phase, chaque niveau devant battre les explications du niveau précédent.</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Organisation :  S → D → ξ,τ → A → F</w:t>
            </w:r>
          </w:p>
          <w:p>
            <w:pPr>
              <w:jc w:val="center"/>
            </w:pPr>
            <w:r>
              <w:rPr>
                <w:rFonts w:ascii="Aptos" w:hAnsi="Aptos"/>
                <w:i/>
                <w:color w:val="667074"/>
                <w:sz w:val="17"/>
              </w:rPr>
              <w:t>Axe organisationnel — ne présume pas du caractère quantique.</w:t>
            </w:r>
          </w:p>
        </w:tc>
      </w:tr>
    </w:tbl>
    <w:p>
      <w:pPr>
        <w:widowControl/>
        <w:spacing w:after="0"/>
      </w:pP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Nature :  classique → effets quantiques nucléaires → cohérence quantique → intrication</w:t>
            </w:r>
          </w:p>
          <w:p>
            <w:pPr>
              <w:jc w:val="center"/>
            </w:pPr>
            <w:r>
              <w:rPr>
                <w:rFonts w:ascii="Aptos" w:hAnsi="Aptos"/>
                <w:i/>
                <w:color w:val="667074"/>
                <w:sz w:val="17"/>
              </w:rPr>
              <w:t>Axe physique distinct — chaque étape exige un critère propre.</w:t>
            </w:r>
          </w:p>
        </w:tc>
      </w:tr>
    </w:tbl>
    <w:p>
      <w:pPr>
        <w:widowControl/>
        <w:spacing w:after="0"/>
      </w:pPr>
    </w:p>
    <w:tbl>
      <w:tblPr>
        <w:tblW w:type="auto" w:w="0"/>
        <w:jc w:val="center"/>
        <w:tblLook w:firstColumn="1" w:firstRow="1" w:lastColumn="0" w:lastRow="0" w:noHBand="0" w:noVBand="1" w:val="04A0"/>
      </w:tblPr>
      <w:tblGrid>
        <w:gridCol w:w="1928"/>
        <w:gridCol w:w="7087"/>
      </w:tblGrid>
      <w:tr>
        <w:trPr>
          <w:cantSplit/>
        </w:trPr>
        <w:tc>
          <w:tcPr>
            <w:tcW w:type="dxa" w:w="4788"/>
            <w:shd w:fill="EEF0F5"/>
            <w:tcMar>
              <w:top w:w="120" w:type="dxa"/>
              <w:start w:w="140" w:type="dxa"/>
              <w:bottom w:w="120" w:type="dxa"/>
              <w:end w:w="140" w:type="dxa"/>
            </w:tcMar>
            <w:vAlign w:val="center"/>
          </w:tcPr>
          <w:p>
            <w:r>
              <w:rPr>
                <w:rFonts w:ascii="Aptos" w:hAnsi="Aptos"/>
                <w:b/>
                <w:color w:val="506A62"/>
                <w:sz w:val="17"/>
              </w:rPr>
              <w:t>C · LITTÉRATURE</w:t>
            </w:r>
          </w:p>
        </w:tc>
        <w:tc>
          <w:tcPr>
            <w:tcW w:type="dxa" w:w="4788"/>
            <w:shd w:fill="FFFFFF"/>
            <w:tcMar>
              <w:top w:w="120" w:type="dxa"/>
              <w:start w:w="140" w:type="dxa"/>
              <w:bottom w:w="120" w:type="dxa"/>
              <w:end w:w="140" w:type="dxa"/>
            </w:tcMar>
            <w:vAlign w:val="center"/>
          </w:tcPr>
          <w:p>
            <w:r>
              <w:rPr>
                <w:rFonts w:ascii="Aptos" w:hAnsi="Aptos"/>
                <w:sz w:val="18"/>
              </w:rPr>
              <w:t>IAPWS-95 fournit la référence thermodynamique de l’eau ordinaire sous forme d’énergie de Helmholtz fonction de la température et de la densité ; ses dérivées donnent pression, entropie, chaleur spécifique, vitesse du son, etc. [1]</w:t>
            </w:r>
          </w:p>
        </w:tc>
      </w:tr>
    </w:tbl>
    <w:p>
      <w:pPr>
        <w:widowControl/>
        <w:spacing w:after="0"/>
      </w:pPr>
    </w:p>
    <w:tbl>
      <w:tblPr>
        <w:tblW w:type="auto" w:w="0"/>
        <w:jc w:val="center"/>
        <w:tblLook w:firstColumn="1" w:firstRow="1" w:lastColumn="0" w:lastRow="0" w:noHBand="0" w:noVBand="1" w:val="04A0"/>
      </w:tblPr>
      <w:tblGrid>
        <w:gridCol w:w="1928"/>
        <w:gridCol w:w="7087"/>
      </w:tblGrid>
      <w:tr>
        <w:trPr>
          <w:cantSplit/>
        </w:trPr>
        <w:tc>
          <w:tcPr>
            <w:tcW w:type="dxa" w:w="4788"/>
            <w:shd w:fill="EEF0F5"/>
            <w:tcMar>
              <w:top w:w="120" w:type="dxa"/>
              <w:start w:w="140" w:type="dxa"/>
              <w:bottom w:w="120" w:type="dxa"/>
              <w:end w:w="140" w:type="dxa"/>
            </w:tcMar>
            <w:vAlign w:val="center"/>
          </w:tcPr>
          <w:p>
            <w:r>
              <w:rPr>
                <w:rFonts w:ascii="Aptos" w:hAnsi="Aptos"/>
                <w:b/>
                <w:color w:val="506A62"/>
                <w:sz w:val="17"/>
              </w:rPr>
              <w:t>C · LITTÉRATURE</w:t>
            </w:r>
          </w:p>
        </w:tc>
        <w:tc>
          <w:tcPr>
            <w:tcW w:type="dxa" w:w="4788"/>
            <w:shd w:fill="FFFFFF"/>
            <w:tcMar>
              <w:top w:w="120" w:type="dxa"/>
              <w:start w:w="140" w:type="dxa"/>
              <w:bottom w:w="120" w:type="dxa"/>
              <w:end w:w="140" w:type="dxa"/>
            </w:tcMar>
            <w:vAlign w:val="center"/>
          </w:tcPr>
          <w:p>
            <w:r>
              <w:rPr>
                <w:rFonts w:ascii="Aptos" w:hAnsi="Aptos"/>
                <w:sz w:val="18"/>
              </w:rPr>
              <w:t>Les effets quantiques nucléaires dans l’eau sont établis et peuvent influencer structure et dynamique avec des amplitudes très variables ; ils sont étudiés expérimentalement et par simulations d’intégrales de chemin. [2,3]</w:t>
            </w:r>
          </w:p>
        </w:tc>
      </w:tr>
    </w:tbl>
    <w:p>
      <w:pPr>
        <w:widowControl/>
        <w:spacing w:after="0"/>
      </w:pPr>
    </w:p>
    <w:tbl>
      <w:tblPr>
        <w:tblW w:type="auto" w:w="0"/>
        <w:jc w:val="center"/>
        <w:tblLook w:firstColumn="1" w:firstRow="1" w:lastColumn="0" w:lastRow="0" w:noHBand="0" w:noVBand="1" w:val="04A0"/>
      </w:tblPr>
      <w:tblGrid>
        <w:gridCol w:w="1928"/>
        <w:gridCol w:w="7087"/>
      </w:tblGrid>
      <w:tr>
        <w:trPr>
          <w:cantSplit/>
        </w:trPr>
        <w:tc>
          <w:tcPr>
            <w:tcW w:type="dxa" w:w="4788"/>
            <w:shd w:fill="EEF0F5"/>
            <w:tcMar>
              <w:top w:w="120" w:type="dxa"/>
              <w:start w:w="140" w:type="dxa"/>
              <w:bottom w:w="120" w:type="dxa"/>
              <w:end w:w="140" w:type="dxa"/>
            </w:tcMar>
            <w:vAlign w:val="center"/>
          </w:tcPr>
          <w:p>
            <w:r>
              <w:rPr>
                <w:rFonts w:ascii="Aptos" w:hAnsi="Aptos"/>
                <w:b/>
                <w:color w:val="506A62"/>
                <w:sz w:val="17"/>
              </w:rPr>
              <w:t>C · LITTÉRATURE</w:t>
            </w:r>
          </w:p>
        </w:tc>
        <w:tc>
          <w:tcPr>
            <w:tcW w:type="dxa" w:w="4788"/>
            <w:shd w:fill="FFFFFF"/>
            <w:tcMar>
              <w:top w:w="120" w:type="dxa"/>
              <w:start w:w="140" w:type="dxa"/>
              <w:bottom w:w="120" w:type="dxa"/>
              <w:end w:w="140" w:type="dxa"/>
            </w:tcMar>
            <w:vAlign w:val="center"/>
          </w:tcPr>
          <w:p>
            <w:r>
              <w:rPr>
                <w:rFonts w:ascii="Aptos" w:hAnsi="Aptos"/>
                <w:sz w:val="18"/>
              </w:rPr>
              <w:t>La spectroscopie THz constitue aujourd’hui une sonde directe des vibrations intermoléculaires et de la dynamique collective du réseau de liaisons hydrogène, avec des analyses par modes et par décomposition spatiale/topologique. [4]</w:t>
            </w:r>
          </w:p>
        </w:tc>
      </w:tr>
    </w:tbl>
    <w:p>
      <w:pPr>
        <w:widowControl/>
        <w:spacing w:after="0"/>
      </w:pPr>
    </w:p>
    <w:p>
      <w:pPr>
        <w:pStyle w:val="Heading1"/>
        <w:widowControl/>
      </w:pPr>
      <w:r>
        <w:t>3. Le retournement de méthode : des phases postulées aux observables</w:t>
      </w:r>
    </w:p>
    <w:p>
      <w:pPr>
        <w:widowControl/>
        <w:spacing w:after="120"/>
      </w:pPr>
      <w:r>
        <w:rPr>
          <w:rFonts w:ascii="Aptos" w:hAnsi="Aptos"/>
          <w:i w:val="0"/>
        </w:rPr>
        <w:t>La question n’est plus : « quelle équation d’état attribuer à une phase cohérente ? » Elle devient : « quelles observables permettraient de montrer qu’un nouveau régime collectif existe, puis de déterminer sa nature ? »</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Avant : phase supposée → modèle → propriétés</w:t>
            </w:r>
          </w:p>
        </w:tc>
      </w:tr>
    </w:tbl>
    <w:p>
      <w:pPr>
        <w:widowControl/>
        <w:spacing w:after="0"/>
      </w:pP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Maintenant : observables → seuils → variable collective → régime → thermodynamique éventuelle</w:t>
            </w:r>
          </w:p>
        </w:tc>
      </w:tr>
    </w:tbl>
    <w:p>
      <w:pPr>
        <w:widowControl/>
        <w:spacing w:after="0"/>
      </w:pPr>
    </w:p>
    <w:p>
      <w:pPr>
        <w:pStyle w:val="Heading2"/>
        <w:widowControl/>
      </w:pPr>
      <w:r>
        <w:t>3.1. Contrat de preuve</w:t>
      </w:r>
    </w:p>
    <w:p>
      <w:pPr>
        <w:pStyle w:val="ListBullet"/>
        <w:widowControl/>
        <w:spacing w:after="60"/>
      </w:pPr>
      <w:r>
        <w:rPr>
          <w:rFonts w:ascii="Aptos" w:hAnsi="Aptos"/>
        </w:rPr>
        <w:t>Ne pas appeler « phase » un simple changement spectral ou dynamique.</w:t>
      </w:r>
    </w:p>
    <w:p>
      <w:pPr>
        <w:pStyle w:val="ListBullet"/>
        <w:widowControl/>
        <w:spacing w:after="60"/>
      </w:pPr>
      <w:r>
        <w:rPr>
          <w:rFonts w:ascii="Aptos" w:hAnsi="Aptos"/>
        </w:rPr>
        <w:t>Ne pas appeler « quantique » ce qui peut être expliqué par une dynamique classique avec les mêmes interactions.</w:t>
      </w:r>
    </w:p>
    <w:p>
      <w:pPr>
        <w:pStyle w:val="ListBullet"/>
        <w:widowControl/>
        <w:spacing w:after="60"/>
      </w:pPr>
      <w:r>
        <w:rPr>
          <w:rFonts w:ascii="Aptos" w:hAnsi="Aptos"/>
        </w:rPr>
        <w:t>Ne pas appeler « cohérence » une simple extension spatiale d’un mode.</w:t>
      </w:r>
    </w:p>
    <w:p>
      <w:pPr>
        <w:pStyle w:val="ListBullet"/>
        <w:widowControl/>
        <w:spacing w:after="60"/>
      </w:pPr>
      <w:r>
        <w:rPr>
          <w:rFonts w:ascii="Aptos" w:hAnsi="Aptos"/>
        </w:rPr>
        <w:t>Ne pas appeler « intrication » une cohérence de phase ou une corrélation classique.</w:t>
      </w:r>
    </w:p>
    <w:p>
      <w:pPr>
        <w:pStyle w:val="ListBullet"/>
        <w:widowControl/>
        <w:spacing w:after="60"/>
      </w:pPr>
      <w:r>
        <w:rPr>
          <w:rFonts w:ascii="Aptos" w:hAnsi="Aptos"/>
        </w:rPr>
        <w:t>Ne pas considérer l’échec d’un niveau supérieur comme un échec du programme : un crossover collectif classique serait déjà un résultat.</w:t>
      </w:r>
    </w:p>
    <w:p>
      <w:pPr>
        <w:pStyle w:val="Heading1"/>
        <w:widowControl/>
      </w:pPr>
      <w:r>
        <w:t>4. Coda Ater II : variables collectives et espace d’états</w:t>
      </w:r>
    </w:p>
    <w:p>
      <w:pPr>
        <w:widowControl/>
        <w:spacing w:after="120"/>
      </w:pPr>
      <w:r>
        <w:rPr>
          <w:rFonts w:ascii="Aptos" w:hAnsi="Aptos"/>
          <w:i w:val="0"/>
        </w:rPr>
        <w:t>Nous proposons un jeu minimal de variables qui doivent être définies concrètement selon la simulation ou l’expérience. Elles ne sont pas postulées comme universelles ; elles constituent un langage de travail.</w:t>
      </w:r>
    </w:p>
    <w:tbl>
      <w:tblPr>
        <w:tblStyle w:val="TableGrid"/>
        <w:tblW w:type="auto" w:w="0"/>
        <w:jc w:val="center"/>
        <w:tblLook w:firstColumn="1" w:firstRow="1" w:lastColumn="0" w:lastRow="0" w:noHBand="0" w:noVBand="1" w:val="04A0"/>
      </w:tblPr>
      <w:tblGrid>
        <w:gridCol w:w="3192"/>
        <w:gridCol w:w="3192"/>
        <w:gridCol w:w="3192"/>
      </w:tblGrid>
      <w:tr>
        <w:trPr>
          <w:cantSplit/>
        </w:trPr>
        <w:tc>
          <w:tcPr>
            <w:tcW w:type="dxa" w:w="1247"/>
            <w:shd w:fill="506A62"/>
            <w:tcMar>
              <w:top w:w="100" w:type="dxa"/>
              <w:start w:w="100" w:type="dxa"/>
              <w:bottom w:w="100" w:type="dxa"/>
              <w:end w:w="100" w:type="dxa"/>
            </w:tcMar>
          </w:tcPr>
          <w:p>
            <w:r>
              <w:rPr>
                <w:rFonts w:ascii="Aptos" w:hAnsi="Aptos"/>
                <w:b/>
                <w:color w:val="FFFFFF"/>
                <w:sz w:val="18"/>
              </w:rPr>
              <w:t>Symbole</w:t>
            </w:r>
          </w:p>
        </w:tc>
        <w:tc>
          <w:tcPr>
            <w:tcW w:type="dxa" w:w="2835"/>
            <w:shd w:fill="506A62"/>
            <w:tcMar>
              <w:top w:w="100" w:type="dxa"/>
              <w:start w:w="100" w:type="dxa"/>
              <w:bottom w:w="100" w:type="dxa"/>
              <w:end w:w="100" w:type="dxa"/>
            </w:tcMar>
          </w:tcPr>
          <w:p>
            <w:r>
              <w:rPr>
                <w:rFonts w:ascii="Aptos" w:hAnsi="Aptos"/>
                <w:b/>
                <w:color w:val="FFFFFF"/>
                <w:sz w:val="18"/>
              </w:rPr>
              <w:t>Rôle</w:t>
            </w:r>
          </w:p>
        </w:tc>
        <w:tc>
          <w:tcPr>
            <w:tcW w:type="dxa" w:w="4989"/>
            <w:shd w:fill="506A62"/>
            <w:tcMar>
              <w:top w:w="100" w:type="dxa"/>
              <w:start w:w="100" w:type="dxa"/>
              <w:bottom w:w="100" w:type="dxa"/>
              <w:end w:w="100" w:type="dxa"/>
            </w:tcMar>
          </w:tcPr>
          <w:p>
            <w:r>
              <w:rPr>
                <w:rFonts w:ascii="Aptos" w:hAnsi="Aptos"/>
                <w:b/>
                <w:color w:val="FFFFFF"/>
                <w:sz w:val="18"/>
              </w:rPr>
              <w:t>Exemple d’opérationnalisation</w:t>
            </w:r>
          </w:p>
        </w:tc>
      </w:tr>
      <w:tr>
        <w:trPr>
          <w:cantSplit/>
        </w:trPr>
        <w:tc>
          <w:tcPr>
            <w:tcW w:type="dxa" w:w="1247"/>
            <w:tcMar>
              <w:top w:w="100" w:type="dxa"/>
              <w:start w:w="100" w:type="dxa"/>
              <w:bottom w:w="100" w:type="dxa"/>
              <w:end w:w="100" w:type="dxa"/>
            </w:tcMar>
          </w:tcPr>
          <w:p>
            <w:r>
              <w:rPr>
                <w:rFonts w:ascii="Aptos" w:hAnsi="Aptos"/>
                <w:sz w:val="17"/>
              </w:rPr>
              <w:t>S / C</w:t>
            </w:r>
          </w:p>
        </w:tc>
        <w:tc>
          <w:tcPr>
            <w:tcW w:type="dxa" w:w="2835"/>
            <w:tcMar>
              <w:top w:w="100" w:type="dxa"/>
              <w:start w:w="100" w:type="dxa"/>
              <w:bottom w:w="100" w:type="dxa"/>
              <w:end w:w="100" w:type="dxa"/>
            </w:tcMar>
          </w:tcPr>
          <w:p>
            <w:r>
              <w:rPr>
                <w:rFonts w:ascii="Aptos" w:hAnsi="Aptos"/>
                <w:sz w:val="17"/>
              </w:rPr>
              <w:t>Organisation ou corrélation structurelle</w:t>
            </w:r>
          </w:p>
        </w:tc>
        <w:tc>
          <w:tcPr>
            <w:tcW w:type="dxa" w:w="4989"/>
            <w:tcMar>
              <w:top w:w="100" w:type="dxa"/>
              <w:start w:w="100" w:type="dxa"/>
              <w:bottom w:w="100" w:type="dxa"/>
              <w:end w:w="100" w:type="dxa"/>
            </w:tcMar>
          </w:tcPr>
          <w:p>
            <w:r>
              <w:rPr>
                <w:rFonts w:ascii="Aptos" w:hAnsi="Aptos"/>
                <w:sz w:val="17"/>
              </w:rPr>
              <w:t>Paramètre tétraédrique, fonctions de corrélation, topologie du réseau H, information mutuelle.</w:t>
            </w:r>
          </w:p>
        </w:tc>
      </w:tr>
      <w:tr>
        <w:trPr>
          <w:cantSplit/>
        </w:trPr>
        <w:tc>
          <w:tcPr>
            <w:tcW w:type="dxa" w:w="1247"/>
            <w:tcMar>
              <w:top w:w="100" w:type="dxa"/>
              <w:start w:w="100" w:type="dxa"/>
              <w:bottom w:w="100" w:type="dxa"/>
              <w:end w:w="100" w:type="dxa"/>
            </w:tcMar>
          </w:tcPr>
          <w:p>
            <w:r>
              <w:rPr>
                <w:rFonts w:ascii="Aptos" w:hAnsi="Aptos"/>
                <w:sz w:val="17"/>
              </w:rPr>
              <w:t>D</w:t>
            </w:r>
          </w:p>
        </w:tc>
        <w:tc>
          <w:tcPr>
            <w:tcW w:type="dxa" w:w="2835"/>
            <w:tcMar>
              <w:top w:w="100" w:type="dxa"/>
              <w:start w:w="100" w:type="dxa"/>
              <w:bottom w:w="100" w:type="dxa"/>
              <w:end w:w="100" w:type="dxa"/>
            </w:tcMar>
          </w:tcPr>
          <w:p>
            <w:r>
              <w:rPr>
                <w:rFonts w:ascii="Aptos" w:hAnsi="Aptos"/>
                <w:sz w:val="17"/>
              </w:rPr>
              <w:t>Délocalisation / participation spatiale d’un mode</w:t>
            </w:r>
          </w:p>
        </w:tc>
        <w:tc>
          <w:tcPr>
            <w:tcW w:type="dxa" w:w="4989"/>
            <w:tcMar>
              <w:top w:w="100" w:type="dxa"/>
              <w:start w:w="100" w:type="dxa"/>
              <w:bottom w:w="100" w:type="dxa"/>
              <w:end w:w="100" w:type="dxa"/>
            </w:tcMar>
          </w:tcPr>
          <w:p>
            <w:r>
              <w:rPr>
                <w:rFonts w:ascii="Aptos" w:hAnsi="Aptos"/>
                <w:sz w:val="17"/>
              </w:rPr>
              <w:t>Inverse participation ratio, nombre effectif de molécules participantes, décomposition spatiale THz.</w:t>
            </w:r>
          </w:p>
        </w:tc>
      </w:tr>
      <w:tr>
        <w:trPr>
          <w:cantSplit/>
        </w:trPr>
        <w:tc>
          <w:tcPr>
            <w:tcW w:type="dxa" w:w="1247"/>
            <w:tcMar>
              <w:top w:w="100" w:type="dxa"/>
              <w:start w:w="100" w:type="dxa"/>
              <w:bottom w:w="100" w:type="dxa"/>
              <w:end w:w="100" w:type="dxa"/>
            </w:tcMar>
          </w:tcPr>
          <w:p>
            <w:r>
              <w:rPr>
                <w:rFonts w:ascii="Aptos" w:hAnsi="Aptos"/>
                <w:sz w:val="17"/>
              </w:rPr>
              <w:t>ξ</w:t>
            </w:r>
          </w:p>
        </w:tc>
        <w:tc>
          <w:tcPr>
            <w:tcW w:type="dxa" w:w="2835"/>
            <w:tcMar>
              <w:top w:w="100" w:type="dxa"/>
              <w:start w:w="100" w:type="dxa"/>
              <w:bottom w:w="100" w:type="dxa"/>
              <w:end w:w="100" w:type="dxa"/>
            </w:tcMar>
          </w:tcPr>
          <w:p>
            <w:r>
              <w:rPr>
                <w:rFonts w:ascii="Aptos" w:hAnsi="Aptos"/>
                <w:sz w:val="17"/>
              </w:rPr>
              <w:t>Portée spatiale des corrélations</w:t>
            </w:r>
          </w:p>
        </w:tc>
        <w:tc>
          <w:tcPr>
            <w:tcW w:type="dxa" w:w="4989"/>
            <w:tcMar>
              <w:top w:w="100" w:type="dxa"/>
              <w:start w:w="100" w:type="dxa"/>
              <w:bottom w:w="100" w:type="dxa"/>
              <w:end w:w="100" w:type="dxa"/>
            </w:tcMar>
          </w:tcPr>
          <w:p>
            <w:r>
              <w:rPr>
                <w:rFonts w:ascii="Aptos" w:hAnsi="Aptos"/>
                <w:sz w:val="17"/>
              </w:rPr>
              <w:t>Décroissance d’une fonction de corrélation, corrélation de réseau ou de modes.</w:t>
            </w:r>
          </w:p>
        </w:tc>
      </w:tr>
      <w:tr>
        <w:trPr>
          <w:cantSplit/>
        </w:trPr>
        <w:tc>
          <w:tcPr>
            <w:tcW w:type="dxa" w:w="1247"/>
            <w:tcMar>
              <w:top w:w="100" w:type="dxa"/>
              <w:start w:w="100" w:type="dxa"/>
              <w:bottom w:w="100" w:type="dxa"/>
              <w:end w:w="100" w:type="dxa"/>
            </w:tcMar>
          </w:tcPr>
          <w:p>
            <w:r>
              <w:rPr>
                <w:rFonts w:ascii="Aptos" w:hAnsi="Aptos"/>
                <w:sz w:val="17"/>
              </w:rPr>
              <w:t>τ</w:t>
            </w:r>
          </w:p>
        </w:tc>
        <w:tc>
          <w:tcPr>
            <w:tcW w:type="dxa" w:w="2835"/>
            <w:tcMar>
              <w:top w:w="100" w:type="dxa"/>
              <w:start w:w="100" w:type="dxa"/>
              <w:bottom w:w="100" w:type="dxa"/>
              <w:end w:w="100" w:type="dxa"/>
            </w:tcMar>
          </w:tcPr>
          <w:p>
            <w:r>
              <w:rPr>
                <w:rFonts w:ascii="Aptos" w:hAnsi="Aptos"/>
                <w:sz w:val="17"/>
              </w:rPr>
              <w:t>Persistance temporelle</w:t>
            </w:r>
          </w:p>
        </w:tc>
        <w:tc>
          <w:tcPr>
            <w:tcW w:type="dxa" w:w="4989"/>
            <w:tcMar>
              <w:top w:w="100" w:type="dxa"/>
              <w:start w:w="100" w:type="dxa"/>
              <w:bottom w:w="100" w:type="dxa"/>
              <w:end w:w="100" w:type="dxa"/>
            </w:tcMar>
          </w:tcPr>
          <w:p>
            <w:r>
              <w:rPr>
                <w:rFonts w:ascii="Aptos" w:hAnsi="Aptos"/>
                <w:sz w:val="17"/>
              </w:rPr>
              <w:t>Temps de corrélation, durée de vie de modes ou de motifs du réseau H.</w:t>
            </w:r>
          </w:p>
        </w:tc>
      </w:tr>
      <w:tr>
        <w:trPr>
          <w:cantSplit/>
        </w:trPr>
        <w:tc>
          <w:tcPr>
            <w:tcW w:type="dxa" w:w="1247"/>
            <w:tcMar>
              <w:top w:w="100" w:type="dxa"/>
              <w:start w:w="100" w:type="dxa"/>
              <w:bottom w:w="100" w:type="dxa"/>
              <w:end w:w="100" w:type="dxa"/>
            </w:tcMar>
          </w:tcPr>
          <w:p>
            <w:r>
              <w:rPr>
                <w:rFonts w:ascii="Aptos" w:hAnsi="Aptos"/>
                <w:sz w:val="17"/>
              </w:rPr>
              <w:t>A</w:t>
            </w:r>
          </w:p>
        </w:tc>
        <w:tc>
          <w:tcPr>
            <w:tcW w:type="dxa" w:w="2835"/>
            <w:tcMar>
              <w:top w:w="100" w:type="dxa"/>
              <w:start w:w="100" w:type="dxa"/>
              <w:bottom w:w="100" w:type="dxa"/>
              <w:end w:w="100" w:type="dxa"/>
            </w:tcMar>
          </w:tcPr>
          <w:p>
            <w:r>
              <w:rPr>
                <w:rFonts w:ascii="Aptos" w:hAnsi="Aptos"/>
                <w:sz w:val="17"/>
              </w:rPr>
              <w:t>Autonomie effective</w:t>
            </w:r>
          </w:p>
        </w:tc>
        <w:tc>
          <w:tcPr>
            <w:tcW w:type="dxa" w:w="4989"/>
            <w:tcMar>
              <w:top w:w="100" w:type="dxa"/>
              <w:start w:w="100" w:type="dxa"/>
              <w:bottom w:w="100" w:type="dxa"/>
              <w:end w:w="100" w:type="dxa"/>
            </w:tcMar>
          </w:tcPr>
          <w:p>
            <w:r>
              <w:rPr>
                <w:rFonts w:ascii="Aptos" w:hAnsi="Aptos"/>
                <w:sz w:val="17"/>
              </w:rPr>
              <w:t>Capacité d’un petit ensemble de variables collectives à prédire la dynamique à leur échelle.</w:t>
            </w:r>
          </w:p>
        </w:tc>
      </w:tr>
      <w:tr>
        <w:trPr>
          <w:cantSplit/>
        </w:trPr>
        <w:tc>
          <w:tcPr>
            <w:tcW w:type="dxa" w:w="1247"/>
            <w:tcMar>
              <w:top w:w="100" w:type="dxa"/>
              <w:start w:w="100" w:type="dxa"/>
              <w:bottom w:w="100" w:type="dxa"/>
              <w:end w:w="100" w:type="dxa"/>
            </w:tcMar>
          </w:tcPr>
          <w:p>
            <w:r>
              <w:rPr>
                <w:rFonts w:ascii="Aptos" w:hAnsi="Aptos"/>
                <w:sz w:val="17"/>
              </w:rPr>
              <w:t>F</w:t>
            </w:r>
          </w:p>
        </w:tc>
        <w:tc>
          <w:tcPr>
            <w:tcW w:type="dxa" w:w="2835"/>
            <w:tcMar>
              <w:top w:w="100" w:type="dxa"/>
              <w:start w:w="100" w:type="dxa"/>
              <w:bottom w:w="100" w:type="dxa"/>
              <w:end w:w="100" w:type="dxa"/>
            </w:tcMar>
          </w:tcPr>
          <w:p>
            <w:r>
              <w:rPr>
                <w:rFonts w:ascii="Aptos" w:hAnsi="Aptos"/>
                <w:sz w:val="17"/>
              </w:rPr>
              <w:t>Fermeture / rétroaction</w:t>
            </w:r>
          </w:p>
        </w:tc>
        <w:tc>
          <w:tcPr>
            <w:tcW w:type="dxa" w:w="4989"/>
            <w:tcMar>
              <w:top w:w="100" w:type="dxa"/>
              <w:start w:w="100" w:type="dxa"/>
              <w:bottom w:w="100" w:type="dxa"/>
              <w:end w:w="100" w:type="dxa"/>
            </w:tcMar>
          </w:tcPr>
          <w:p>
            <w:r>
              <w:rPr>
                <w:rFonts w:ascii="Aptos" w:hAnsi="Aptos"/>
                <w:sz w:val="17"/>
              </w:rPr>
              <w:t>Information prédictive bidirectionnelle ou modification mesurable des conditions qui maintiennent le collectif.</w:t>
            </w:r>
          </w:p>
        </w:tc>
      </w:tr>
      <w:tr>
        <w:trPr>
          <w:cantSplit/>
        </w:trPr>
        <w:tc>
          <w:tcPr>
            <w:tcW w:type="dxa" w:w="1247"/>
            <w:tcMar>
              <w:top w:w="100" w:type="dxa"/>
              <w:start w:w="100" w:type="dxa"/>
              <w:bottom w:w="100" w:type="dxa"/>
              <w:end w:w="100" w:type="dxa"/>
            </w:tcMar>
          </w:tcPr>
          <w:p>
            <w:r>
              <w:rPr>
                <w:rFonts w:ascii="Aptos" w:hAnsi="Aptos"/>
                <w:sz w:val="17"/>
              </w:rPr>
              <w:t>Q_C</w:t>
            </w:r>
          </w:p>
        </w:tc>
        <w:tc>
          <w:tcPr>
            <w:tcW w:type="dxa" w:w="2835"/>
            <w:tcMar>
              <w:top w:w="100" w:type="dxa"/>
              <w:start w:w="100" w:type="dxa"/>
              <w:bottom w:w="100" w:type="dxa"/>
              <w:end w:w="100" w:type="dxa"/>
            </w:tcMar>
          </w:tcPr>
          <w:p>
            <w:r>
              <w:rPr>
                <w:rFonts w:ascii="Aptos" w:hAnsi="Aptos"/>
                <w:sz w:val="17"/>
              </w:rPr>
              <w:t>Cohérence quantique éventuelle</w:t>
            </w:r>
          </w:p>
        </w:tc>
        <w:tc>
          <w:tcPr>
            <w:tcW w:type="dxa" w:w="4989"/>
            <w:tcMar>
              <w:top w:w="100" w:type="dxa"/>
              <w:start w:w="100" w:type="dxa"/>
              <w:bottom w:w="100" w:type="dxa"/>
              <w:end w:w="100" w:type="dxa"/>
            </w:tcMar>
          </w:tcPr>
          <w:p>
            <w:r>
              <w:rPr>
                <w:rFonts w:ascii="Aptos" w:hAnsi="Aptos"/>
                <w:sz w:val="17"/>
              </w:rPr>
              <w:t>Observable définie par un modèle quantique et distinguée d’un mélange classique.</w:t>
            </w:r>
          </w:p>
        </w:tc>
      </w:tr>
      <w:tr>
        <w:trPr>
          <w:cantSplit/>
        </w:trPr>
        <w:tc>
          <w:tcPr>
            <w:tcW w:type="dxa" w:w="1247"/>
            <w:tcMar>
              <w:top w:w="100" w:type="dxa"/>
              <w:start w:w="100" w:type="dxa"/>
              <w:bottom w:w="100" w:type="dxa"/>
              <w:end w:w="100" w:type="dxa"/>
            </w:tcMar>
          </w:tcPr>
          <w:p>
            <w:r>
              <w:rPr>
                <w:rFonts w:ascii="Aptos" w:hAnsi="Aptos"/>
                <w:sz w:val="17"/>
              </w:rPr>
              <w:t>Q_E</w:t>
            </w:r>
          </w:p>
        </w:tc>
        <w:tc>
          <w:tcPr>
            <w:tcW w:type="dxa" w:w="2835"/>
            <w:tcMar>
              <w:top w:w="100" w:type="dxa"/>
              <w:start w:w="100" w:type="dxa"/>
              <w:bottom w:w="100" w:type="dxa"/>
              <w:end w:w="100" w:type="dxa"/>
            </w:tcMar>
          </w:tcPr>
          <w:p>
            <w:r>
              <w:rPr>
                <w:rFonts w:ascii="Aptos" w:hAnsi="Aptos"/>
                <w:sz w:val="17"/>
              </w:rPr>
              <w:t>Intrication éventuelle</w:t>
            </w:r>
          </w:p>
        </w:tc>
        <w:tc>
          <w:tcPr>
            <w:tcW w:type="dxa" w:w="4989"/>
            <w:tcMar>
              <w:top w:w="100" w:type="dxa"/>
              <w:start w:w="100" w:type="dxa"/>
              <w:bottom w:w="100" w:type="dxa"/>
              <w:end w:w="100" w:type="dxa"/>
            </w:tcMar>
          </w:tcPr>
          <w:p>
            <w:r>
              <w:rPr>
                <w:rFonts w:ascii="Aptos" w:hAnsi="Aptos"/>
                <w:sz w:val="17"/>
              </w:rPr>
              <w:t>Témoin ou critère multipartite spécifique ; non déduit de Q_C.</w:t>
            </w:r>
          </w:p>
        </w:tc>
      </w:tr>
    </w:tbl>
    <w:p>
      <w:pPr>
        <w:widowControl/>
        <w:spacing w:after="0"/>
      </w:pPr>
    </w:p>
    <w:p>
      <w:pPr>
        <w:pStyle w:val="Heading2"/>
        <w:widowControl/>
      </w:pPr>
      <w:r>
        <w:t>4.1. Délocalisation des modes</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IPR_m = Σ_i |u_i^(m)|⁴ / (Σ_i |u_i^(m)|²)²</w:t>
            </w:r>
          </w:p>
        </w:tc>
      </w:tr>
    </w:tbl>
    <w:p>
      <w:pPr>
        <w:widowControl/>
        <w:spacing w:after="0"/>
      </w:pP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D_m = 1 / (N · IPR_m)</w:t>
            </w:r>
          </w:p>
          <w:p>
            <w:pPr>
              <w:jc w:val="center"/>
            </w:pPr>
            <w:r>
              <w:rPr>
                <w:rFonts w:ascii="Aptos" w:hAnsi="Aptos"/>
                <w:i/>
                <w:color w:val="667074"/>
                <w:sz w:val="17"/>
              </w:rPr>
              <w:t>D_m ~ 1/N pour un mode localisé ; D_m ~ 1 pour un mode étendu uniformément.</w:t>
            </w:r>
          </w:p>
        </w:tc>
      </w:tr>
    </w:tbl>
    <w:p>
      <w:pPr>
        <w:widowControl/>
        <w:spacing w:after="0"/>
      </w:pPr>
    </w:p>
    <w:p>
      <w:pPr>
        <w:widowControl/>
        <w:spacing w:after="120"/>
      </w:pPr>
      <w:r>
        <w:rPr>
          <w:rFonts w:ascii="Aptos" w:hAnsi="Aptos"/>
          <w:i w:val="0"/>
        </w:rPr>
        <w:t>Dans une simulation, cette définition peut être adaptée à des modes normaux instantanés, à des modes quasi-harmoniques, à des composantes spectrales ou à des représentations locales. L’enjeu n’est pas le choix unique de l’IPR, mais la distinction expérimentale entre extension et simple intensité.</w:t>
      </w:r>
    </w:p>
    <w:p>
      <w:pPr>
        <w:pStyle w:val="Heading2"/>
        <w:widowControl/>
      </w:pPr>
      <w:r>
        <w:t>4.2. Corrélations dans l’espace et le temps</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C(r,t) = ⟨δX(0,0) δX(r,t)⟩</w:t>
            </w:r>
          </w:p>
        </w:tc>
      </w:tr>
    </w:tbl>
    <w:p>
      <w:pPr>
        <w:widowControl/>
        <w:spacing w:after="0"/>
      </w:pPr>
    </w:p>
    <w:p>
      <w:pPr>
        <w:widowControl/>
        <w:spacing w:after="120"/>
      </w:pPr>
      <w:r>
        <w:rPr>
          <w:rFonts w:ascii="Aptos" w:hAnsi="Aptos"/>
          <w:i w:val="0"/>
        </w:rPr>
        <w:t>On pourra en extraire une longueur ξ et un temps τ. Un mode étendu mais éphémère ne possède pas le même statut qu’une organisation étendue et persistante.</w:t>
      </w:r>
    </w:p>
    <w:p>
      <w:pPr>
        <w:pStyle w:val="Heading2"/>
        <w:widowControl/>
      </w:pPr>
      <w:r>
        <w:t>4.3. Un espace plutôt qu’une étiquette</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E_Coda = (S, D, ξ, τ, A, F ; Q_C, Q_E)</w:t>
            </w:r>
          </w:p>
        </w:tc>
      </w:tr>
    </w:tbl>
    <w:p>
      <w:pPr>
        <w:widowControl/>
        <w:spacing w:after="0"/>
      </w:pPr>
    </w:p>
    <w:p>
      <w:pPr>
        <w:widowControl/>
        <w:spacing w:after="120"/>
      </w:pPr>
      <w:r>
        <w:rPr>
          <w:rFonts w:ascii="Aptos" w:hAnsi="Aptos"/>
          <w:i w:val="0"/>
        </w:rPr>
        <w:t>Une « eau cohérente » ne constitue plus une case binaire. Si un régime inhabituel existe, il doit occuper une région identifiable de cet espace et se distinguer par des observables convergentes.</w:t>
      </w:r>
    </w:p>
    <w:p>
      <w:pPr>
        <w:pStyle w:val="Heading1"/>
        <w:widowControl/>
      </w:pPr>
      <w:r>
        <w:t>5. Modèle mathématique minimal</w:t>
      </w:r>
    </w:p>
    <w:p>
      <w:pPr>
        <w:pStyle w:val="Heading2"/>
        <w:widowControl/>
      </w:pPr>
      <w:r>
        <w:t>5.1. Référence thermodynamique</w:t>
      </w:r>
    </w:p>
    <w:tbl>
      <w:tblPr>
        <w:tblW w:type="auto" w:w="0"/>
        <w:jc w:val="center"/>
        <w:tblLook w:firstColumn="1" w:firstRow="1" w:lastColumn="0" w:lastRow="0" w:noHBand="0" w:noVBand="1" w:val="04A0"/>
      </w:tblPr>
      <w:tblGrid>
        <w:gridCol w:w="1928"/>
        <w:gridCol w:w="7087"/>
      </w:tblGrid>
      <w:tr>
        <w:trPr>
          <w:cantSplit/>
        </w:trPr>
        <w:tc>
          <w:tcPr>
            <w:tcW w:type="dxa" w:w="4788"/>
            <w:shd w:fill="EEF0F5"/>
            <w:tcMar>
              <w:top w:w="120" w:type="dxa"/>
              <w:start w:w="140" w:type="dxa"/>
              <w:bottom w:w="120" w:type="dxa"/>
              <w:end w:w="140" w:type="dxa"/>
            </w:tcMar>
            <w:vAlign w:val="center"/>
          </w:tcPr>
          <w:p>
            <w:r>
              <w:rPr>
                <w:rFonts w:ascii="Aptos" w:hAnsi="Aptos"/>
                <w:b/>
                <w:color w:val="506A62"/>
                <w:sz w:val="17"/>
              </w:rPr>
              <w:t>C · LITTÉRATURE</w:t>
            </w:r>
          </w:p>
        </w:tc>
        <w:tc>
          <w:tcPr>
            <w:tcW w:type="dxa" w:w="4788"/>
            <w:shd w:fill="FFFFFF"/>
            <w:tcMar>
              <w:top w:w="120" w:type="dxa"/>
              <w:start w:w="140" w:type="dxa"/>
              <w:bottom w:w="120" w:type="dxa"/>
              <w:end w:w="140" w:type="dxa"/>
            </w:tcMar>
            <w:vAlign w:val="center"/>
          </w:tcPr>
          <w:p>
            <w:r>
              <w:rPr>
                <w:rFonts w:ascii="Aptos" w:hAnsi="Aptos"/>
                <w:sz w:val="18"/>
              </w:rPr>
              <w:t>Pour l’eau ordinaire, IAPWS-95 fournit un excellent socle thermodynamique dans les phases fluides stables et l’équilibre vapeur-liquide. [1]</w:t>
            </w:r>
          </w:p>
        </w:tc>
      </w:tr>
    </w:tbl>
    <w:p>
      <w:pPr>
        <w:widowControl/>
        <w:spacing w:after="0"/>
      </w:pPr>
    </w:p>
    <w:p>
      <w:pPr>
        <w:widowControl/>
        <w:spacing w:after="120"/>
      </w:pPr>
      <w:r>
        <w:rPr>
          <w:rFonts w:ascii="Aptos" w:hAnsi="Aptos"/>
          <w:i w:val="0"/>
        </w:rPr>
        <w:t>Notons f₀(T,ρ) une énergie libre volumique ou spécifique de référence cohérente avec les données de l’eau ordinaire dans le domaine considéré. Coda Ater II n’a d’intérêt thermodynamique que s’il améliore une description là où f₀ et une dynamique moléculaire réaliste ne suffisent pas.</w:t>
      </w:r>
    </w:p>
    <w:p>
      <w:pPr>
        <w:pStyle w:val="Heading2"/>
        <w:widowControl/>
      </w:pPr>
      <w:r>
        <w:t>5.2. Paramètre d’ordre hypothétique</w:t>
      </w:r>
    </w:p>
    <w:p>
      <w:pPr>
        <w:widowControl/>
        <w:spacing w:after="120"/>
      </w:pPr>
      <w:r>
        <w:rPr>
          <w:rFonts w:ascii="Aptos" w:hAnsi="Aptos"/>
          <w:i w:val="0"/>
        </w:rPr>
        <w:t>Si les données révèlent un collectif robuste, on pourra introduire un paramètre d’ordre ψ, sans l’identifier a priori à un condensat moléculaire :</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F[ψ] = ∫ d³r [ f₀(T,ρ) + a|ψ|² + (b/2)|ψ|⁴ + (c/3)|ψ|⁶ + (κ/2)|∇ψ|² ]</w:t>
            </w:r>
          </w:p>
        </w:tc>
      </w:tr>
    </w:tbl>
    <w:p>
      <w:pPr>
        <w:widowControl/>
        <w:spacing w:after="0"/>
      </w:pPr>
    </w:p>
    <w:p>
      <w:pPr>
        <w:widowControl/>
        <w:spacing w:after="120"/>
      </w:pPr>
      <w:r>
        <w:rPr>
          <w:rFonts w:ascii="Aptos" w:hAnsi="Aptos"/>
          <w:i w:val="0"/>
        </w:rPr>
        <w:t>Les coefficients a,b,c,κ doivent être reliés à des observables ou calibrés sur une simulation/expérience. Le terme d’ordre six permet de traiter des paysages où un quartique seul ne suffit pas ; il ne constitue pas une prédiction en soi.</w:t>
      </w:r>
    </w:p>
    <w:p>
      <w:pPr>
        <w:pStyle w:val="Heading2"/>
        <w:widowControl/>
      </w:pPr>
      <w:r>
        <w:t>5.3. Couplage entre structure et délocalisation</w:t>
      </w:r>
    </w:p>
    <w:p>
      <w:pPr>
        <w:widowControl/>
        <w:spacing w:after="120"/>
      </w:pPr>
      <w:r>
        <w:rPr>
          <w:rFonts w:ascii="Aptos" w:hAnsi="Aptos"/>
          <w:i w:val="0"/>
        </w:rPr>
        <w:t>Pour tester l’idée qu’un réseau plus organisé favorise certains modes collectifs et que ces modes puissent stabiliser en retour certaines structures, un modèle effectif à deux variables peut être écrit :</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f(S,D) = f₀ + a_S S²/2 + b_S S⁴/4 + a_D D²/2 + b_D D⁴/4 − g S²D²</w:t>
            </w:r>
          </w:p>
        </w:tc>
      </w:tr>
    </w:tbl>
    <w:p>
      <w:pPr>
        <w:widowControl/>
        <w:spacing w:after="0"/>
      </w:pPr>
    </w:p>
    <w:p>
      <w:pPr>
        <w:widowControl/>
        <w:spacing w:after="120"/>
      </w:pPr>
      <w:r>
        <w:rPr>
          <w:rFonts w:ascii="Aptos" w:hAnsi="Aptos"/>
          <w:i w:val="0"/>
        </w:rPr>
        <w:t>Ce terme de couplage n’est qu’un prototype. Son utilité est de poser une question mesurable : structure et délocalisation varient-elles indépendamment, ou existe-t-il un couplage suffisamment fort pour modifier la stabilité des régimes ?</w:t>
      </w:r>
    </w:p>
    <w:p>
      <w:pPr>
        <w:pStyle w:val="Heading2"/>
        <w:widowControl/>
      </w:pPr>
      <w:r>
        <w:t>5.4. Dynamique et stabilité</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Ṡ = −Γ_S ∂f/∂S      ;      Ḋ = −Γ_D ∂f/∂D</w:t>
            </w:r>
          </w:p>
        </w:tc>
      </w:tr>
    </w:tbl>
    <w:p>
      <w:pPr>
        <w:widowControl/>
        <w:spacing w:after="0"/>
      </w:pPr>
    </w:p>
    <w:p>
      <w:pPr>
        <w:widowControl/>
        <w:spacing w:after="120"/>
      </w:pPr>
      <w:r>
        <w:rPr>
          <w:rFonts w:ascii="Aptos" w:hAnsi="Aptos"/>
          <w:i w:val="0"/>
        </w:rPr>
        <w:t>Autour d’un état stationnaire, le Jacobien J de la dynamique détermine la stabilité locale. Un seuil dynamique apparaît lorsqu’une valeur propre franchit Re(λ)=0. Ce test doit précéder toute attribution d’une « nouvelle phase » lorsqu’on observe un changement de comportement.</w:t>
      </w:r>
    </w:p>
    <w:p>
      <w:pPr>
        <w:pStyle w:val="Heading2"/>
        <w:widowControl/>
      </w:pPr>
      <w:r>
        <w:t>5.5. Retour à la thermodynamique</w:t>
      </w:r>
    </w:p>
    <w:p>
      <w:pPr>
        <w:widowControl/>
        <w:spacing w:after="120"/>
      </w:pPr>
      <w:r>
        <w:rPr>
          <w:rFonts w:ascii="Aptos" w:hAnsi="Aptos"/>
          <w:i w:val="0"/>
        </w:rPr>
        <w:t>Une fois le minimum d’équilibre ψ*(T,ρ) ou (S*,D*) déterminé, on construit une énergie libre d’équilibre f_eq. Toutes les grandeurs doivent alors être dérivées de la même fonction :</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s = −(∂f_eq/∂T)_ρ      ;      μ = (∂f_eq/∂ρ)_T (selon convention)      ;      P = ρ(∂f_eq/∂ρ)_T − f_eq</w:t>
            </w:r>
          </w:p>
        </w:tc>
      </w:tr>
    </w:tbl>
    <w:p>
      <w:pPr>
        <w:widowControl/>
        <w:spacing w:after="0"/>
      </w:pPr>
    </w:p>
    <w:tbl>
      <w:tblPr>
        <w:tblW w:type="auto" w:w="0"/>
        <w:jc w:val="center"/>
        <w:tblLook w:firstColumn="1" w:firstRow="1" w:lastColumn="0" w:lastRow="0" w:noHBand="0" w:noVBand="1" w:val="04A0"/>
      </w:tblPr>
      <w:tblGrid>
        <w:gridCol w:w="9576"/>
      </w:tblGrid>
      <w:tr>
        <w:trPr>
          <w:cantSplit/>
        </w:trPr>
        <w:tc>
          <w:tcPr>
            <w:tcW w:type="dxa" w:w="9576"/>
            <w:shd w:fill="F4EEE4"/>
            <w:tcMar>
              <w:top w:w="180" w:type="dxa"/>
              <w:start w:w="220" w:type="dxa"/>
              <w:bottom w:w="180" w:type="dxa"/>
              <w:end w:w="220" w:type="dxa"/>
            </w:tcMar>
          </w:tcPr>
          <w:p>
            <w:r>
              <w:rPr>
                <w:rFonts w:ascii="Aptos" w:hAnsi="Aptos"/>
                <w:b/>
                <w:color w:val="8A7454"/>
              </w:rPr>
              <w:t xml:space="preserve">Point de discipline. </w:t>
            </w:r>
            <w:r>
              <w:rPr>
                <w:rFonts w:ascii="Aptos" w:hAnsi="Aptos"/>
              </w:rPr>
              <w:t>La notation exacte dépendra du choix énergie libre par volume, par masse ou par particule. Avant tout calcul numérique, les conventions et dimensions devront être fixées une fois pour toutes.</w:t>
            </w:r>
          </w:p>
        </w:tc>
      </w:tr>
    </w:tbl>
    <w:p>
      <w:pPr>
        <w:widowControl/>
        <w:spacing w:after="0"/>
      </w:pPr>
    </w:p>
    <w:p>
      <w:pPr>
        <w:pStyle w:val="Heading1"/>
        <w:widowControl/>
      </w:pPr>
      <w:r>
        <w:t>6. Grammaire des seuils appliquée à l’eau</w:t>
      </w:r>
    </w:p>
    <w:p>
      <w:pPr>
        <w:widowControl/>
        <w:spacing w:after="120"/>
      </w:pPr>
      <w:r>
        <w:rPr>
          <w:rFonts w:ascii="Aptos" w:hAnsi="Aptos"/>
          <w:i w:val="0"/>
        </w:rPr>
        <w:t>La Grammaire des seuils, développée séparément, fournit ici un protocole de classement des transformations. Elle ne remplace ni la mécanique statistique ni la dynamique moléculaire.</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P → I → C → D → T → A → F → P′</w:t>
            </w:r>
          </w:p>
        </w:tc>
      </w:tr>
    </w:tbl>
    <w:p>
      <w:pPr>
        <w:widowControl/>
        <w:spacing w:after="0"/>
      </w:pPr>
    </w:p>
    <w:tbl>
      <w:tblPr>
        <w:tblStyle w:val="TableGrid"/>
        <w:tblW w:type="auto" w:w="0"/>
        <w:jc w:val="center"/>
        <w:tblLook w:firstColumn="1" w:firstRow="1" w:lastColumn="0" w:lastRow="0" w:noHBand="0" w:noVBand="1" w:val="04A0"/>
      </w:tblPr>
      <w:tblGrid>
        <w:gridCol w:w="4788"/>
        <w:gridCol w:w="4788"/>
      </w:tblGrid>
      <w:tr>
        <w:trPr>
          <w:cantSplit/>
        </w:trPr>
        <w:tc>
          <w:tcPr>
            <w:tcW w:type="dxa" w:w="1247"/>
            <w:shd w:fill="506A62"/>
            <w:tcMar>
              <w:top w:w="100" w:type="dxa"/>
              <w:start w:w="100" w:type="dxa"/>
              <w:bottom w:w="100" w:type="dxa"/>
              <w:end w:w="100" w:type="dxa"/>
            </w:tcMar>
          </w:tcPr>
          <w:p>
            <w:r>
              <w:rPr>
                <w:rFonts w:ascii="Aptos" w:hAnsi="Aptos"/>
                <w:b/>
                <w:color w:val="FFFFFF"/>
                <w:sz w:val="18"/>
              </w:rPr>
              <w:t>Seuil</w:t>
            </w:r>
          </w:p>
        </w:tc>
        <w:tc>
          <w:tcPr>
            <w:tcW w:type="dxa" w:w="7824"/>
            <w:shd w:fill="506A62"/>
            <w:tcMar>
              <w:top w:w="100" w:type="dxa"/>
              <w:start w:w="100" w:type="dxa"/>
              <w:bottom w:w="100" w:type="dxa"/>
              <w:end w:w="100" w:type="dxa"/>
            </w:tcMar>
          </w:tcPr>
          <w:p>
            <w:r>
              <w:rPr>
                <w:rFonts w:ascii="Aptos" w:hAnsi="Aptos"/>
                <w:b/>
                <w:color w:val="FFFFFF"/>
                <w:sz w:val="18"/>
              </w:rPr>
              <w:t>Question appliquée à l’eau</w:t>
            </w:r>
          </w:p>
        </w:tc>
      </w:tr>
      <w:tr>
        <w:trPr>
          <w:cantSplit/>
        </w:trPr>
        <w:tc>
          <w:tcPr>
            <w:tcW w:type="dxa" w:w="1247"/>
            <w:tcMar>
              <w:top w:w="100" w:type="dxa"/>
              <w:start w:w="100" w:type="dxa"/>
              <w:bottom w:w="100" w:type="dxa"/>
              <w:end w:w="100" w:type="dxa"/>
            </w:tcMar>
          </w:tcPr>
          <w:p>
            <w:r>
              <w:rPr>
                <w:rFonts w:ascii="Aptos" w:hAnsi="Aptos"/>
                <w:sz w:val="17"/>
              </w:rPr>
              <w:t>Θ_C</w:t>
            </w:r>
          </w:p>
        </w:tc>
        <w:tc>
          <w:tcPr>
            <w:tcW w:type="dxa" w:w="7824"/>
            <w:tcMar>
              <w:top w:w="100" w:type="dxa"/>
              <w:start w:w="100" w:type="dxa"/>
              <w:bottom w:w="100" w:type="dxa"/>
              <w:end w:w="100" w:type="dxa"/>
            </w:tcMar>
          </w:tcPr>
          <w:p>
            <w:r>
              <w:rPr>
                <w:rFonts w:ascii="Aptos" w:hAnsi="Aptos"/>
                <w:sz w:val="17"/>
              </w:rPr>
              <w:t>Les fluctuations moléculaires deviennent-elles corrélées sur une échelle identifiable ?</w:t>
            </w:r>
          </w:p>
        </w:tc>
      </w:tr>
      <w:tr>
        <w:trPr>
          <w:cantSplit/>
        </w:trPr>
        <w:tc>
          <w:tcPr>
            <w:tcW w:type="dxa" w:w="1247"/>
            <w:tcMar>
              <w:top w:w="100" w:type="dxa"/>
              <w:start w:w="100" w:type="dxa"/>
              <w:bottom w:w="100" w:type="dxa"/>
              <w:end w:w="100" w:type="dxa"/>
            </w:tcMar>
          </w:tcPr>
          <w:p>
            <w:r>
              <w:rPr>
                <w:rFonts w:ascii="Aptos" w:hAnsi="Aptos"/>
                <w:sz w:val="17"/>
              </w:rPr>
              <w:t>Θ_D</w:t>
            </w:r>
          </w:p>
        </w:tc>
        <w:tc>
          <w:tcPr>
            <w:tcW w:type="dxa" w:w="7824"/>
            <w:tcMar>
              <w:top w:w="100" w:type="dxa"/>
              <w:start w:w="100" w:type="dxa"/>
              <w:bottom w:w="100" w:type="dxa"/>
              <w:end w:w="100" w:type="dxa"/>
            </w:tcMar>
          </w:tcPr>
          <w:p>
            <w:r>
              <w:rPr>
                <w:rFonts w:ascii="Aptos" w:hAnsi="Aptos"/>
                <w:sz w:val="17"/>
              </w:rPr>
              <w:t>Des modes ou motifs s’étendent-ils au-delà d’un voisinage local ?</w:t>
            </w:r>
          </w:p>
        </w:tc>
      </w:tr>
      <w:tr>
        <w:trPr>
          <w:cantSplit/>
        </w:trPr>
        <w:tc>
          <w:tcPr>
            <w:tcW w:type="dxa" w:w="1247"/>
            <w:tcMar>
              <w:top w:w="100" w:type="dxa"/>
              <w:start w:w="100" w:type="dxa"/>
              <w:bottom w:w="100" w:type="dxa"/>
              <w:end w:w="100" w:type="dxa"/>
            </w:tcMar>
          </w:tcPr>
          <w:p>
            <w:r>
              <w:rPr>
                <w:rFonts w:ascii="Aptos" w:hAnsi="Aptos"/>
                <w:sz w:val="17"/>
              </w:rPr>
              <w:t>Θ_T</w:t>
            </w:r>
          </w:p>
        </w:tc>
        <w:tc>
          <w:tcPr>
            <w:tcW w:type="dxa" w:w="7824"/>
            <w:tcMar>
              <w:top w:w="100" w:type="dxa"/>
              <w:start w:w="100" w:type="dxa"/>
              <w:bottom w:w="100" w:type="dxa"/>
              <w:end w:w="100" w:type="dxa"/>
            </w:tcMar>
          </w:tcPr>
          <w:p>
            <w:r>
              <w:rPr>
                <w:rFonts w:ascii="Aptos" w:hAnsi="Aptos"/>
                <w:sz w:val="17"/>
              </w:rPr>
              <w:t>Cette organisation persiste-t-elle assez longtemps pour être distinguée du bruit rapide ?</w:t>
            </w:r>
          </w:p>
        </w:tc>
      </w:tr>
      <w:tr>
        <w:trPr>
          <w:cantSplit/>
        </w:trPr>
        <w:tc>
          <w:tcPr>
            <w:tcW w:type="dxa" w:w="1247"/>
            <w:tcMar>
              <w:top w:w="100" w:type="dxa"/>
              <w:start w:w="100" w:type="dxa"/>
              <w:bottom w:w="100" w:type="dxa"/>
              <w:end w:w="100" w:type="dxa"/>
            </w:tcMar>
          </w:tcPr>
          <w:p>
            <w:r>
              <w:rPr>
                <w:rFonts w:ascii="Aptos" w:hAnsi="Aptos"/>
                <w:sz w:val="17"/>
              </w:rPr>
              <w:t>Θ_A</w:t>
            </w:r>
          </w:p>
        </w:tc>
        <w:tc>
          <w:tcPr>
            <w:tcW w:type="dxa" w:w="7824"/>
            <w:tcMar>
              <w:top w:w="100" w:type="dxa"/>
              <w:start w:w="100" w:type="dxa"/>
              <w:bottom w:w="100" w:type="dxa"/>
              <w:end w:w="100" w:type="dxa"/>
            </w:tcMar>
          </w:tcPr>
          <w:p>
            <w:r>
              <w:rPr>
                <w:rFonts w:ascii="Aptos" w:hAnsi="Aptos"/>
                <w:sz w:val="17"/>
              </w:rPr>
              <w:t>Un petit ensemble de variables collectives possède-t-il une dynamique prédictive robuste ?</w:t>
            </w:r>
          </w:p>
        </w:tc>
      </w:tr>
      <w:tr>
        <w:trPr>
          <w:cantSplit/>
        </w:trPr>
        <w:tc>
          <w:tcPr>
            <w:tcW w:type="dxa" w:w="1247"/>
            <w:tcMar>
              <w:top w:w="100" w:type="dxa"/>
              <w:start w:w="100" w:type="dxa"/>
              <w:bottom w:w="100" w:type="dxa"/>
              <w:end w:w="100" w:type="dxa"/>
            </w:tcMar>
          </w:tcPr>
          <w:p>
            <w:r>
              <w:rPr>
                <w:rFonts w:ascii="Aptos" w:hAnsi="Aptos"/>
                <w:sz w:val="17"/>
              </w:rPr>
              <w:t>Θ_F</w:t>
            </w:r>
          </w:p>
        </w:tc>
        <w:tc>
          <w:tcPr>
            <w:tcW w:type="dxa" w:w="7824"/>
            <w:tcMar>
              <w:top w:w="100" w:type="dxa"/>
              <w:start w:w="100" w:type="dxa"/>
              <w:bottom w:w="100" w:type="dxa"/>
              <w:end w:w="100" w:type="dxa"/>
            </w:tcMar>
          </w:tcPr>
          <w:p>
            <w:r>
              <w:rPr>
                <w:rFonts w:ascii="Aptos" w:hAnsi="Aptos"/>
                <w:sz w:val="17"/>
              </w:rPr>
              <w:t>Le collectif modifie-t-il en retour le réseau/dynamique qui le maintient ?</w:t>
            </w:r>
          </w:p>
        </w:tc>
      </w:tr>
      <w:tr>
        <w:trPr>
          <w:cantSplit/>
        </w:trPr>
        <w:tc>
          <w:tcPr>
            <w:tcW w:type="dxa" w:w="1247"/>
            <w:tcMar>
              <w:top w:w="100" w:type="dxa"/>
              <w:start w:w="100" w:type="dxa"/>
              <w:bottom w:w="100" w:type="dxa"/>
              <w:end w:w="100" w:type="dxa"/>
            </w:tcMar>
          </w:tcPr>
          <w:p>
            <w:r>
              <w:rPr>
                <w:rFonts w:ascii="Aptos" w:hAnsi="Aptos"/>
                <w:sz w:val="17"/>
              </w:rPr>
              <w:t>Θ_G</w:t>
            </w:r>
          </w:p>
        </w:tc>
        <w:tc>
          <w:tcPr>
            <w:tcW w:type="dxa" w:w="7824"/>
            <w:tcMar>
              <w:top w:w="100" w:type="dxa"/>
              <w:start w:w="100" w:type="dxa"/>
              <w:bottom w:w="100" w:type="dxa"/>
              <w:end w:w="100" w:type="dxa"/>
            </w:tcMar>
          </w:tcPr>
          <w:p>
            <w:r>
              <w:rPr>
                <w:rFonts w:ascii="Aptos" w:hAnsi="Aptos"/>
                <w:sz w:val="17"/>
              </w:rPr>
              <w:t>Le changement fait-il apparaître un nouveau degré de liberté ou un nouvel espace de capacités ?</w:t>
            </w:r>
          </w:p>
        </w:tc>
      </w:tr>
    </w:tbl>
    <w:p>
      <w:pPr>
        <w:widowControl/>
        <w:spacing w:after="0"/>
      </w:pPr>
    </w:p>
    <w:p>
      <w:pPr>
        <w:widowControl/>
        <w:spacing w:after="120"/>
      </w:pPr>
      <w:r>
        <w:rPr>
          <w:rFonts w:ascii="Aptos" w:hAnsi="Aptos"/>
          <w:i w:val="0"/>
        </w:rPr>
        <w:t>La sortie peut être R0 variation, R1 adaptation, R2 transition, R3 engendrement ou R4 indéterminé. Une transition n’est pas automatiquement un engendrement ; un crossover n’est pas automatiquement une phase.</w:t>
      </w:r>
    </w:p>
    <w:p>
      <w:pPr>
        <w:pStyle w:val="Heading1"/>
        <w:widowControl/>
      </w:pPr>
      <w:r>
        <w:t>7. Deux axes à ne plus confondre : organisation et nature quantique</w:t>
      </w:r>
    </w:p>
    <w:p>
      <w:pPr>
        <w:pStyle w:val="Heading2"/>
        <w:widowControl/>
      </w:pPr>
      <w:r>
        <w:t>7.1. Axe organisationnel</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S/C → D/ξ → τ → A → F</w:t>
            </w:r>
          </w:p>
        </w:tc>
      </w:tr>
    </w:tbl>
    <w:p>
      <w:pPr>
        <w:widowControl/>
        <w:spacing w:after="0"/>
      </w:pPr>
    </w:p>
    <w:p>
      <w:pPr>
        <w:widowControl/>
        <w:spacing w:after="120"/>
      </w:pPr>
      <w:r>
        <w:rPr>
          <w:rFonts w:ascii="Aptos" w:hAnsi="Aptos"/>
          <w:i w:val="0"/>
        </w:rPr>
        <w:t>Cet axe peut être entièrement classique. Une eau présentant des vibrations collectives THz, des corrélations étendues et des temps de relaxation particuliers ne fournit pas à elle seule la preuve d’une cohérence quantique macroscopique.</w:t>
      </w:r>
    </w:p>
    <w:p>
      <w:pPr>
        <w:pStyle w:val="Heading2"/>
        <w:widowControl/>
      </w:pPr>
      <w:r>
        <w:t>7.2. Axe de nature physique</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classique → effets quantiques nucléaires → Q_C → Q_E</w:t>
            </w:r>
          </w:p>
        </w:tc>
      </w:tr>
    </w:tbl>
    <w:p>
      <w:pPr>
        <w:widowControl/>
        <w:spacing w:after="0"/>
      </w:pPr>
    </w:p>
    <w:tbl>
      <w:tblPr>
        <w:tblW w:type="auto" w:w="0"/>
        <w:jc w:val="center"/>
        <w:tblLook w:firstColumn="1" w:firstRow="1" w:lastColumn="0" w:lastRow="0" w:noHBand="0" w:noVBand="1" w:val="04A0"/>
      </w:tblPr>
      <w:tblGrid>
        <w:gridCol w:w="1928"/>
        <w:gridCol w:w="7087"/>
      </w:tblGrid>
      <w:tr>
        <w:trPr>
          <w:cantSplit/>
        </w:trPr>
        <w:tc>
          <w:tcPr>
            <w:tcW w:type="dxa" w:w="4788"/>
            <w:shd w:fill="EEF0F5"/>
            <w:tcMar>
              <w:top w:w="120" w:type="dxa"/>
              <w:start w:w="140" w:type="dxa"/>
              <w:bottom w:w="120" w:type="dxa"/>
              <w:end w:w="140" w:type="dxa"/>
            </w:tcMar>
            <w:vAlign w:val="center"/>
          </w:tcPr>
          <w:p>
            <w:r>
              <w:rPr>
                <w:rFonts w:ascii="Aptos" w:hAnsi="Aptos"/>
                <w:b/>
                <w:color w:val="506A62"/>
                <w:sz w:val="17"/>
              </w:rPr>
              <w:t>C · LITTÉRATURE</w:t>
            </w:r>
          </w:p>
        </w:tc>
        <w:tc>
          <w:tcPr>
            <w:tcW w:type="dxa" w:w="4788"/>
            <w:shd w:fill="FFFFFF"/>
            <w:tcMar>
              <w:top w:w="120" w:type="dxa"/>
              <w:start w:w="140" w:type="dxa"/>
              <w:bottom w:w="120" w:type="dxa"/>
              <w:end w:w="140" w:type="dxa"/>
            </w:tcMar>
            <w:vAlign w:val="center"/>
          </w:tcPr>
          <w:p>
            <w:r>
              <w:rPr>
                <w:rFonts w:ascii="Aptos" w:hAnsi="Aptos"/>
                <w:sz w:val="18"/>
              </w:rPr>
              <w:t>Les effets quantiques nucléaires de H₂O/D₂O sont établis. Une étude de 2024 utilisant des simulations d’intégrales de chemin à qualité proche coupled-cluster trouve des effets H/D substantiels sur la dynamique translationnelle et rotationnelle, tout en concluant à un impact marginal sur la structure moyenne dans les conditions ambiantes étudiées. [3]</w:t>
            </w:r>
          </w:p>
        </w:tc>
      </w:tr>
    </w:tbl>
    <w:p>
      <w:pPr>
        <w:widowControl/>
        <w:spacing w:after="0"/>
      </w:pPr>
    </w:p>
    <w:p>
      <w:pPr>
        <w:widowControl/>
        <w:spacing w:after="120"/>
      </w:pPr>
      <w:r>
        <w:rPr>
          <w:rFonts w:ascii="Aptos" w:hAnsi="Aptos"/>
          <w:i w:val="0"/>
        </w:rPr>
        <w:t>Ce résultat soutient une idée importante pour Coda Ater II : l’endroit où chercher une différence pourrait être davantage la dynamique et les fluctuations que l’apparition d’une structure statique spectaculaire.</w:t>
      </w:r>
    </w:p>
    <w:p>
      <w:pPr>
        <w:pStyle w:val="Heading2"/>
        <w:widowControl/>
      </w:pPr>
      <w:r>
        <w:t>7.3. Tableau de lecture</w:t>
      </w:r>
    </w:p>
    <w:tbl>
      <w:tblPr>
        <w:tblStyle w:val="TableGrid"/>
        <w:tblW w:type="auto" w:w="0"/>
        <w:jc w:val="center"/>
        <w:tblLook w:firstColumn="1" w:firstRow="1" w:lastColumn="0" w:lastRow="0" w:noHBand="0" w:noVBand="1" w:val="04A0"/>
      </w:tblPr>
      <w:tblGrid>
        <w:gridCol w:w="3192"/>
        <w:gridCol w:w="3192"/>
        <w:gridCol w:w="3192"/>
      </w:tblGrid>
      <w:tr>
        <w:trPr>
          <w:cantSplit/>
        </w:trPr>
        <w:tc>
          <w:tcPr>
            <w:tcW w:type="dxa" w:w="1984"/>
            <w:shd w:fill="506A62"/>
            <w:tcMar>
              <w:top w:w="100" w:type="dxa"/>
              <w:start w:w="100" w:type="dxa"/>
              <w:bottom w:w="100" w:type="dxa"/>
              <w:end w:w="100" w:type="dxa"/>
            </w:tcMar>
          </w:tcPr>
          <w:p>
            <w:r>
              <w:rPr>
                <w:rFonts w:ascii="Aptos" w:hAnsi="Aptos"/>
                <w:b/>
                <w:color w:val="FFFFFF"/>
                <w:sz w:val="18"/>
              </w:rPr>
              <w:t>Organisation</w:t>
            </w:r>
          </w:p>
        </w:tc>
        <w:tc>
          <w:tcPr>
            <w:tcW w:type="dxa" w:w="1984"/>
            <w:shd w:fill="506A62"/>
            <w:tcMar>
              <w:top w:w="100" w:type="dxa"/>
              <w:start w:w="100" w:type="dxa"/>
              <w:bottom w:w="100" w:type="dxa"/>
              <w:end w:w="100" w:type="dxa"/>
            </w:tcMar>
          </w:tcPr>
          <w:p>
            <w:r>
              <w:rPr>
                <w:rFonts w:ascii="Aptos" w:hAnsi="Aptos"/>
                <w:b/>
                <w:color w:val="FFFFFF"/>
                <w:sz w:val="18"/>
              </w:rPr>
              <w:t>Quantique</w:t>
            </w:r>
          </w:p>
        </w:tc>
        <w:tc>
          <w:tcPr>
            <w:tcW w:type="dxa" w:w="5102"/>
            <w:shd w:fill="506A62"/>
            <w:tcMar>
              <w:top w:w="100" w:type="dxa"/>
              <w:start w:w="100" w:type="dxa"/>
              <w:bottom w:w="100" w:type="dxa"/>
              <w:end w:w="100" w:type="dxa"/>
            </w:tcMar>
          </w:tcPr>
          <w:p>
            <w:r>
              <w:rPr>
                <w:rFonts w:ascii="Aptos" w:hAnsi="Aptos"/>
                <w:b/>
                <w:color w:val="FFFFFF"/>
                <w:sz w:val="18"/>
              </w:rPr>
              <w:t>Interprétation prudente</w:t>
            </w:r>
          </w:p>
        </w:tc>
      </w:tr>
      <w:tr>
        <w:trPr>
          <w:cantSplit/>
        </w:trPr>
        <w:tc>
          <w:tcPr>
            <w:tcW w:type="dxa" w:w="1984"/>
            <w:tcMar>
              <w:top w:w="100" w:type="dxa"/>
              <w:start w:w="100" w:type="dxa"/>
              <w:bottom w:w="100" w:type="dxa"/>
              <w:end w:w="100" w:type="dxa"/>
            </w:tcMar>
          </w:tcPr>
          <w:p>
            <w:r>
              <w:rPr>
                <w:rFonts w:ascii="Aptos" w:hAnsi="Aptos"/>
                <w:sz w:val="17"/>
              </w:rPr>
              <w:t>faible</w:t>
            </w:r>
          </w:p>
        </w:tc>
        <w:tc>
          <w:tcPr>
            <w:tcW w:type="dxa" w:w="1984"/>
            <w:tcMar>
              <w:top w:w="100" w:type="dxa"/>
              <w:start w:w="100" w:type="dxa"/>
              <w:bottom w:w="100" w:type="dxa"/>
              <w:end w:w="100" w:type="dxa"/>
            </w:tcMar>
          </w:tcPr>
          <w:p>
            <w:r>
              <w:rPr>
                <w:rFonts w:ascii="Aptos" w:hAnsi="Aptos"/>
                <w:sz w:val="17"/>
              </w:rPr>
              <w:t>faible</w:t>
            </w:r>
          </w:p>
        </w:tc>
        <w:tc>
          <w:tcPr>
            <w:tcW w:type="dxa" w:w="5102"/>
            <w:tcMar>
              <w:top w:w="100" w:type="dxa"/>
              <w:start w:w="100" w:type="dxa"/>
              <w:bottom w:w="100" w:type="dxa"/>
              <w:end w:w="100" w:type="dxa"/>
            </w:tcMar>
          </w:tcPr>
          <w:p>
            <w:r>
              <w:rPr>
                <w:rFonts w:ascii="Aptos" w:hAnsi="Aptos"/>
                <w:sz w:val="17"/>
              </w:rPr>
              <w:t>régime moléculaire ordinaire / peu collectif</w:t>
            </w:r>
          </w:p>
        </w:tc>
      </w:tr>
      <w:tr>
        <w:trPr>
          <w:cantSplit/>
        </w:trPr>
        <w:tc>
          <w:tcPr>
            <w:tcW w:type="dxa" w:w="1984"/>
            <w:tcMar>
              <w:top w:w="100" w:type="dxa"/>
              <w:start w:w="100" w:type="dxa"/>
              <w:bottom w:w="100" w:type="dxa"/>
              <w:end w:w="100" w:type="dxa"/>
            </w:tcMar>
          </w:tcPr>
          <w:p>
            <w:r>
              <w:rPr>
                <w:rFonts w:ascii="Aptos" w:hAnsi="Aptos"/>
                <w:sz w:val="17"/>
              </w:rPr>
              <w:t>forte</w:t>
            </w:r>
          </w:p>
        </w:tc>
        <w:tc>
          <w:tcPr>
            <w:tcW w:type="dxa" w:w="1984"/>
            <w:tcMar>
              <w:top w:w="100" w:type="dxa"/>
              <w:start w:w="100" w:type="dxa"/>
              <w:bottom w:w="100" w:type="dxa"/>
              <w:end w:w="100" w:type="dxa"/>
            </w:tcMar>
          </w:tcPr>
          <w:p>
            <w:r>
              <w:rPr>
                <w:rFonts w:ascii="Aptos" w:hAnsi="Aptos"/>
                <w:sz w:val="17"/>
              </w:rPr>
              <w:t>faible</w:t>
            </w:r>
          </w:p>
        </w:tc>
        <w:tc>
          <w:tcPr>
            <w:tcW w:type="dxa" w:w="5102"/>
            <w:tcMar>
              <w:top w:w="100" w:type="dxa"/>
              <w:start w:w="100" w:type="dxa"/>
              <w:bottom w:w="100" w:type="dxa"/>
              <w:end w:w="100" w:type="dxa"/>
            </w:tcMar>
          </w:tcPr>
          <w:p>
            <w:r>
              <w:rPr>
                <w:rFonts w:ascii="Aptos" w:hAnsi="Aptos"/>
                <w:sz w:val="17"/>
              </w:rPr>
              <w:t>collectif classique ou semi-classique</w:t>
            </w:r>
          </w:p>
        </w:tc>
      </w:tr>
      <w:tr>
        <w:trPr>
          <w:cantSplit/>
        </w:trPr>
        <w:tc>
          <w:tcPr>
            <w:tcW w:type="dxa" w:w="1984"/>
            <w:tcMar>
              <w:top w:w="100" w:type="dxa"/>
              <w:start w:w="100" w:type="dxa"/>
              <w:bottom w:w="100" w:type="dxa"/>
              <w:end w:w="100" w:type="dxa"/>
            </w:tcMar>
          </w:tcPr>
          <w:p>
            <w:r>
              <w:rPr>
                <w:rFonts w:ascii="Aptos" w:hAnsi="Aptos"/>
                <w:sz w:val="17"/>
              </w:rPr>
              <w:t>faible</w:t>
            </w:r>
          </w:p>
        </w:tc>
        <w:tc>
          <w:tcPr>
            <w:tcW w:type="dxa" w:w="1984"/>
            <w:tcMar>
              <w:top w:w="100" w:type="dxa"/>
              <w:start w:w="100" w:type="dxa"/>
              <w:bottom w:w="100" w:type="dxa"/>
              <w:end w:w="100" w:type="dxa"/>
            </w:tcMar>
          </w:tcPr>
          <w:p>
            <w:r>
              <w:rPr>
                <w:rFonts w:ascii="Aptos" w:hAnsi="Aptos"/>
                <w:sz w:val="17"/>
              </w:rPr>
              <w:t>présent localement</w:t>
            </w:r>
          </w:p>
        </w:tc>
        <w:tc>
          <w:tcPr>
            <w:tcW w:type="dxa" w:w="5102"/>
            <w:tcMar>
              <w:top w:w="100" w:type="dxa"/>
              <w:start w:w="100" w:type="dxa"/>
              <w:bottom w:w="100" w:type="dxa"/>
              <w:end w:w="100" w:type="dxa"/>
            </w:tcMar>
          </w:tcPr>
          <w:p>
            <w:r>
              <w:rPr>
                <w:rFonts w:ascii="Aptos" w:hAnsi="Aptos"/>
                <w:sz w:val="17"/>
              </w:rPr>
              <w:t>effets quantiques sans nouveau niveau collectif</w:t>
            </w:r>
          </w:p>
        </w:tc>
      </w:tr>
      <w:tr>
        <w:trPr>
          <w:cantSplit/>
        </w:trPr>
        <w:tc>
          <w:tcPr>
            <w:tcW w:type="dxa" w:w="1984"/>
            <w:tcMar>
              <w:top w:w="100" w:type="dxa"/>
              <w:start w:w="100" w:type="dxa"/>
              <w:bottom w:w="100" w:type="dxa"/>
              <w:end w:w="100" w:type="dxa"/>
            </w:tcMar>
          </w:tcPr>
          <w:p>
            <w:r>
              <w:rPr>
                <w:rFonts w:ascii="Aptos" w:hAnsi="Aptos"/>
                <w:sz w:val="17"/>
              </w:rPr>
              <w:t>forte</w:t>
            </w:r>
          </w:p>
        </w:tc>
        <w:tc>
          <w:tcPr>
            <w:tcW w:type="dxa" w:w="1984"/>
            <w:tcMar>
              <w:top w:w="100" w:type="dxa"/>
              <w:start w:w="100" w:type="dxa"/>
              <w:bottom w:w="100" w:type="dxa"/>
              <w:end w:w="100" w:type="dxa"/>
            </w:tcMar>
          </w:tcPr>
          <w:p>
            <w:r>
              <w:rPr>
                <w:rFonts w:ascii="Aptos" w:hAnsi="Aptos"/>
                <w:sz w:val="17"/>
              </w:rPr>
              <w:t>NQE importants</w:t>
            </w:r>
          </w:p>
        </w:tc>
        <w:tc>
          <w:tcPr>
            <w:tcW w:type="dxa" w:w="5102"/>
            <w:tcMar>
              <w:top w:w="100" w:type="dxa"/>
              <w:start w:w="100" w:type="dxa"/>
              <w:bottom w:w="100" w:type="dxa"/>
              <w:end w:w="100" w:type="dxa"/>
            </w:tcMar>
          </w:tcPr>
          <w:p>
            <w:r>
              <w:rPr>
                <w:rFonts w:ascii="Aptos" w:hAnsi="Aptos"/>
                <w:sz w:val="17"/>
              </w:rPr>
              <w:t>collectif dont la dynamique est modifiée par les noyaux quantiques</w:t>
            </w:r>
          </w:p>
        </w:tc>
      </w:tr>
      <w:tr>
        <w:trPr>
          <w:cantSplit/>
        </w:trPr>
        <w:tc>
          <w:tcPr>
            <w:tcW w:type="dxa" w:w="1984"/>
            <w:tcMar>
              <w:top w:w="100" w:type="dxa"/>
              <w:start w:w="100" w:type="dxa"/>
              <w:bottom w:w="100" w:type="dxa"/>
              <w:end w:w="100" w:type="dxa"/>
            </w:tcMar>
          </w:tcPr>
          <w:p>
            <w:r>
              <w:rPr>
                <w:rFonts w:ascii="Aptos" w:hAnsi="Aptos"/>
                <w:sz w:val="17"/>
              </w:rPr>
              <w:t>forte</w:t>
            </w:r>
          </w:p>
        </w:tc>
        <w:tc>
          <w:tcPr>
            <w:tcW w:type="dxa" w:w="1984"/>
            <w:tcMar>
              <w:top w:w="100" w:type="dxa"/>
              <w:start w:w="100" w:type="dxa"/>
              <w:bottom w:w="100" w:type="dxa"/>
              <w:end w:w="100" w:type="dxa"/>
            </w:tcMar>
          </w:tcPr>
          <w:p>
            <w:r>
              <w:rPr>
                <w:rFonts w:ascii="Aptos" w:hAnsi="Aptos"/>
                <w:sz w:val="17"/>
              </w:rPr>
              <w:t>Q_C démontré</w:t>
            </w:r>
          </w:p>
        </w:tc>
        <w:tc>
          <w:tcPr>
            <w:tcW w:type="dxa" w:w="5102"/>
            <w:tcMar>
              <w:top w:w="100" w:type="dxa"/>
              <w:start w:w="100" w:type="dxa"/>
              <w:bottom w:w="100" w:type="dxa"/>
              <w:end w:w="100" w:type="dxa"/>
            </w:tcMar>
          </w:tcPr>
          <w:p>
            <w:r>
              <w:rPr>
                <w:rFonts w:ascii="Aptos" w:hAnsi="Aptos"/>
                <w:sz w:val="17"/>
              </w:rPr>
              <w:t>candidat à un régime quantique collectif</w:t>
            </w:r>
          </w:p>
        </w:tc>
      </w:tr>
      <w:tr>
        <w:trPr>
          <w:cantSplit/>
        </w:trPr>
        <w:tc>
          <w:tcPr>
            <w:tcW w:type="dxa" w:w="1984"/>
            <w:tcMar>
              <w:top w:w="100" w:type="dxa"/>
              <w:start w:w="100" w:type="dxa"/>
              <w:bottom w:w="100" w:type="dxa"/>
              <w:end w:w="100" w:type="dxa"/>
            </w:tcMar>
          </w:tcPr>
          <w:p>
            <w:r>
              <w:rPr>
                <w:rFonts w:ascii="Aptos" w:hAnsi="Aptos"/>
                <w:sz w:val="17"/>
              </w:rPr>
              <w:t>forte</w:t>
            </w:r>
          </w:p>
        </w:tc>
        <w:tc>
          <w:tcPr>
            <w:tcW w:type="dxa" w:w="1984"/>
            <w:tcMar>
              <w:top w:w="100" w:type="dxa"/>
              <w:start w:w="100" w:type="dxa"/>
              <w:bottom w:w="100" w:type="dxa"/>
              <w:end w:w="100" w:type="dxa"/>
            </w:tcMar>
          </w:tcPr>
          <w:p>
            <w:r>
              <w:rPr>
                <w:rFonts w:ascii="Aptos" w:hAnsi="Aptos"/>
                <w:sz w:val="17"/>
              </w:rPr>
              <w:t>Q_E démontré</w:t>
            </w:r>
          </w:p>
        </w:tc>
        <w:tc>
          <w:tcPr>
            <w:tcW w:type="dxa" w:w="5102"/>
            <w:tcMar>
              <w:top w:w="100" w:type="dxa"/>
              <w:start w:w="100" w:type="dxa"/>
              <w:bottom w:w="100" w:type="dxa"/>
              <w:end w:w="100" w:type="dxa"/>
            </w:tcMar>
          </w:tcPr>
          <w:p>
            <w:r>
              <w:rPr>
                <w:rFonts w:ascii="Aptos" w:hAnsi="Aptos"/>
                <w:sz w:val="17"/>
              </w:rPr>
              <w:t>régime intriqué ; exige des témoins beaucoup plus contraignants</w:t>
            </w:r>
          </w:p>
        </w:tc>
      </w:tr>
    </w:tbl>
    <w:p>
      <w:pPr>
        <w:widowControl/>
        <w:spacing w:after="0"/>
      </w:pPr>
    </w:p>
    <w:p>
      <w:pPr>
        <w:pStyle w:val="Heading1"/>
        <w:widowControl/>
      </w:pPr>
      <w:r>
        <w:t>8. Programme numérique</w:t>
      </w:r>
    </w:p>
    <w:p>
      <w:pPr>
        <w:widowControl/>
        <w:spacing w:after="120"/>
      </w:pPr>
      <w:r>
        <w:rPr>
          <w:rFonts w:ascii="Aptos" w:hAnsi="Aptos"/>
          <w:i w:val="0"/>
        </w:rPr>
        <w:t>Le programme numérique doit d’abord reproduire l’eau connue avant de rechercher un nouvel ordre. Une séquence possible :</w:t>
      </w:r>
    </w:p>
    <w:p>
      <w:pPr>
        <w:pStyle w:val="ListNumber"/>
        <w:widowControl/>
        <w:spacing w:after="100"/>
      </w:pPr>
      <w:r>
        <w:rPr>
          <w:rFonts w:ascii="Aptos" w:hAnsi="Aptos"/>
          <w:b/>
        </w:rPr>
        <w:t xml:space="preserve">Référence classique réaliste. </w:t>
      </w:r>
      <w:r>
        <w:rPr>
          <w:rFonts w:ascii="Aptos" w:hAnsi="Aptos"/>
        </w:rPr>
        <w:t>Choisir un potentiel ou un modèle électronique suffisamment précis et vérifier densité, RDF, diffusion, diélectrique, spectres et propriétés thermodynamiques dans le domaine étudié.</w:t>
      </w:r>
    </w:p>
    <w:p>
      <w:pPr>
        <w:pStyle w:val="ListNumber"/>
        <w:widowControl/>
        <w:spacing w:after="100"/>
      </w:pPr>
      <w:r>
        <w:rPr>
          <w:rFonts w:ascii="Aptos" w:hAnsi="Aptos"/>
          <w:b/>
        </w:rPr>
        <w:t xml:space="preserve">Noyaux quantiques. </w:t>
      </w:r>
      <w:r>
        <w:rPr>
          <w:rFonts w:ascii="Aptos" w:hAnsi="Aptos"/>
        </w:rPr>
        <w:t>Répéter avec path-integral MD / méthodes accélérées appropriées pour H₂O et D₂O afin d’isoler les effets quantiques nucléaires.</w:t>
      </w:r>
    </w:p>
    <w:p>
      <w:pPr>
        <w:pStyle w:val="ListNumber"/>
        <w:widowControl/>
        <w:spacing w:after="100"/>
      </w:pPr>
      <w:r>
        <w:rPr>
          <w:rFonts w:ascii="Aptos" w:hAnsi="Aptos"/>
          <w:b/>
        </w:rPr>
        <w:t xml:space="preserve">Extraction des modes. </w:t>
      </w:r>
      <w:r>
        <w:rPr>
          <w:rFonts w:ascii="Aptos" w:hAnsi="Aptos"/>
        </w:rPr>
        <w:t>Calculer modes instantanés/quasi-harmoniques ou décompositions spectrales pertinentes, puis IPR, participation, D(ω), ξ(ω) et τ(ω).</w:t>
      </w:r>
    </w:p>
    <w:p>
      <w:pPr>
        <w:pStyle w:val="ListNumber"/>
        <w:widowControl/>
        <w:spacing w:after="100"/>
      </w:pPr>
      <w:r>
        <w:rPr>
          <w:rFonts w:ascii="Aptos" w:hAnsi="Aptos"/>
          <w:b/>
        </w:rPr>
        <w:t xml:space="preserve">Topologie du réseau H. </w:t>
      </w:r>
      <w:r>
        <w:rPr>
          <w:rFonts w:ascii="Aptos" w:hAnsi="Aptos"/>
        </w:rPr>
        <w:t>Caractériser motifs, connectivité, durée de vie et corrélations du réseau de liaisons hydrogène.</w:t>
      </w:r>
    </w:p>
    <w:p>
      <w:pPr>
        <w:pStyle w:val="ListNumber"/>
        <w:widowControl/>
        <w:spacing w:after="100"/>
      </w:pPr>
      <w:r>
        <w:rPr>
          <w:rFonts w:ascii="Aptos" w:hAnsi="Aptos"/>
          <w:b/>
        </w:rPr>
        <w:t xml:space="preserve">Réduction de dimension. </w:t>
      </w:r>
      <w:r>
        <w:rPr>
          <w:rFonts w:ascii="Aptos" w:hAnsi="Aptos"/>
        </w:rPr>
        <w:t>Tester si (S,D,ξ,τ,…) prédit une part significative de la dynamique future mieux que des descripteurs triviaux de T,ρ.</w:t>
      </w:r>
    </w:p>
    <w:p>
      <w:pPr>
        <w:pStyle w:val="ListNumber"/>
        <w:widowControl/>
        <w:spacing w:after="100"/>
      </w:pPr>
      <w:r>
        <w:rPr>
          <w:rFonts w:ascii="Aptos" w:hAnsi="Aptos"/>
          <w:b/>
        </w:rPr>
        <w:t xml:space="preserve">Causalité effective. </w:t>
      </w:r>
      <w:r>
        <w:rPr>
          <w:rFonts w:ascii="Aptos" w:hAnsi="Aptos"/>
        </w:rPr>
        <w:t>Comparer des modèles S(t+Δt)=f[S(t)] et S(t+Δt)=f[S(t),D(t)] puis la direction inverse ; contrôler variables confondantes.</w:t>
      </w:r>
    </w:p>
    <w:p>
      <w:pPr>
        <w:pStyle w:val="ListNumber"/>
        <w:widowControl/>
        <w:spacing w:after="100"/>
      </w:pPr>
      <w:r>
        <w:rPr>
          <w:rFonts w:ascii="Aptos" w:hAnsi="Aptos"/>
          <w:b/>
        </w:rPr>
        <w:t xml:space="preserve">Recherche de seuil. </w:t>
      </w:r>
      <w:r>
        <w:rPr>
          <w:rFonts w:ascii="Aptos" w:hAnsi="Aptos"/>
        </w:rPr>
        <w:t>Cartographier susceptibilités, valeurs propres du Jacobien, hystérésis et bifurcations dans (T,P,ρ,confinement,soluté,…).</w:t>
      </w:r>
    </w:p>
    <w:p>
      <w:pPr>
        <w:pStyle w:val="ListNumber"/>
        <w:widowControl/>
        <w:spacing w:after="100"/>
      </w:pPr>
      <w:r>
        <w:rPr>
          <w:rFonts w:ascii="Aptos" w:hAnsi="Aptos"/>
          <w:b/>
        </w:rPr>
        <w:t xml:space="preserve">Thermodynamique effective. </w:t>
      </w:r>
      <w:r>
        <w:rPr>
          <w:rFonts w:ascii="Aptos" w:hAnsi="Aptos"/>
        </w:rPr>
        <w:t>N’introduire un nouveau terme d’énergie libre que si un collectif robuste est identifié et que le modèle améliore quantitativement la prédiction.</w:t>
      </w:r>
    </w:p>
    <w:p>
      <w:pPr>
        <w:pStyle w:val="Heading2"/>
        <w:widowControl/>
      </w:pPr>
      <w:r>
        <w:t>8.1. Test H₂O / D₂O</w:t>
      </w:r>
    </w:p>
    <w:p>
      <w:pPr>
        <w:widowControl/>
        <w:spacing w:after="120"/>
      </w:pPr>
      <w:r>
        <w:rPr>
          <w:rFonts w:ascii="Aptos" w:hAnsi="Aptos"/>
          <w:i w:val="0"/>
        </w:rPr>
        <w:t>L’isotopie est un axe discriminant mais pas un raccourci. Une différence H/D contient à la fois des effets de masse « classiques » dans les fréquences et des effets quantiques nucléaires. Le test pertinent est donc comparatif :</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Δ_exp  comparé à  Δ_classique  et  Δ_quantique</w:t>
            </w:r>
          </w:p>
        </w:tc>
      </w:tr>
    </w:tbl>
    <w:p>
      <w:pPr>
        <w:widowControl/>
        <w:spacing w:after="0"/>
      </w:pPr>
    </w:p>
    <w:p>
      <w:pPr>
        <w:widowControl/>
        <w:spacing w:after="120"/>
      </w:pPr>
      <w:r>
        <w:rPr>
          <w:rFonts w:ascii="Aptos" w:hAnsi="Aptos"/>
          <w:i w:val="0"/>
        </w:rPr>
        <w:t>Une signature Coda Ater intéressante ne serait pas une simple fréquence déplacée, mais une modification systématique de la géométrie d’un seuil : D(ω,T), ξ, τ, susceptibilité collective ou stabilité d’un régime.</w:t>
      </w:r>
    </w:p>
    <w:p>
      <w:pPr>
        <w:pStyle w:val="Heading1"/>
        <w:widowControl/>
      </w:pPr>
      <w:r>
        <w:t>9. Programme expérimental</w:t>
      </w:r>
    </w:p>
    <w:tbl>
      <w:tblPr>
        <w:tblW w:type="auto" w:w="0"/>
        <w:jc w:val="center"/>
        <w:tblLook w:firstColumn="1" w:firstRow="1" w:lastColumn="0" w:lastRow="0" w:noHBand="0" w:noVBand="1" w:val="04A0"/>
      </w:tblPr>
      <w:tblGrid>
        <w:gridCol w:w="1928"/>
        <w:gridCol w:w="7087"/>
      </w:tblGrid>
      <w:tr>
        <w:trPr>
          <w:cantSplit/>
        </w:trPr>
        <w:tc>
          <w:tcPr>
            <w:tcW w:type="dxa" w:w="4788"/>
            <w:shd w:fill="EEF0F5"/>
            <w:tcMar>
              <w:top w:w="120" w:type="dxa"/>
              <w:start w:w="140" w:type="dxa"/>
              <w:bottom w:w="120" w:type="dxa"/>
              <w:end w:w="140" w:type="dxa"/>
            </w:tcMar>
            <w:vAlign w:val="center"/>
          </w:tcPr>
          <w:p>
            <w:r>
              <w:rPr>
                <w:rFonts w:ascii="Aptos" w:hAnsi="Aptos"/>
                <w:b/>
                <w:color w:val="506A62"/>
                <w:sz w:val="17"/>
              </w:rPr>
              <w:t>C · LITTÉRATURE</w:t>
            </w:r>
          </w:p>
        </w:tc>
        <w:tc>
          <w:tcPr>
            <w:tcW w:type="dxa" w:w="4788"/>
            <w:shd w:fill="FFFFFF"/>
            <w:tcMar>
              <w:top w:w="120" w:type="dxa"/>
              <w:start w:w="140" w:type="dxa"/>
              <w:bottom w:w="120" w:type="dxa"/>
              <w:end w:w="140" w:type="dxa"/>
            </w:tcMar>
            <w:vAlign w:val="center"/>
          </w:tcPr>
          <w:p>
            <w:r>
              <w:rPr>
                <w:rFonts w:ascii="Aptos" w:hAnsi="Aptos"/>
                <w:sz w:val="18"/>
              </w:rPr>
              <w:t>La revue Chemical Reviews 2026 sur la spectroscopie THz des solutions aqueuses décrit le THz comme une sonde directe des vibrations intermoléculaires et de la dynamique collective du réseau de liaisons hydrogène. Elle distingue des approches d’assignation par modes et par décomposition topologique/spatiale. [4]</w:t>
            </w:r>
          </w:p>
        </w:tc>
      </w:tr>
    </w:tbl>
    <w:p>
      <w:pPr>
        <w:widowControl/>
        <w:spacing w:after="0"/>
      </w:pPr>
    </w:p>
    <w:p>
      <w:pPr>
        <w:widowControl/>
        <w:spacing w:after="120"/>
      </w:pPr>
      <w:r>
        <w:rPr>
          <w:rFonts w:ascii="Aptos" w:hAnsi="Aptos"/>
          <w:i w:val="0"/>
        </w:rPr>
        <w:t>Cela rend possible un programme expérimental et simulation/expérience couplé autour de D(ω), ξ(ω) et τ(ω).</w:t>
      </w:r>
    </w:p>
    <w:tbl>
      <w:tblPr>
        <w:tblStyle w:val="TableGrid"/>
        <w:tblW w:type="auto" w:w="0"/>
        <w:jc w:val="center"/>
        <w:tblLook w:firstColumn="1" w:firstRow="1" w:lastColumn="0" w:lastRow="0" w:noHBand="0" w:noVBand="1" w:val="04A0"/>
      </w:tblPr>
      <w:tblGrid>
        <w:gridCol w:w="3192"/>
        <w:gridCol w:w="3192"/>
        <w:gridCol w:w="3192"/>
      </w:tblGrid>
      <w:tr>
        <w:trPr>
          <w:cantSplit/>
        </w:trPr>
        <w:tc>
          <w:tcPr>
            <w:tcW w:type="dxa" w:w="1814"/>
            <w:shd w:fill="506A62"/>
            <w:tcMar>
              <w:top w:w="100" w:type="dxa"/>
              <w:start w:w="100" w:type="dxa"/>
              <w:bottom w:w="100" w:type="dxa"/>
              <w:end w:w="100" w:type="dxa"/>
            </w:tcMar>
          </w:tcPr>
          <w:p>
            <w:r>
              <w:rPr>
                <w:rFonts w:ascii="Aptos" w:hAnsi="Aptos"/>
                <w:b/>
                <w:color w:val="FFFFFF"/>
                <w:sz w:val="18"/>
              </w:rPr>
              <w:t>Sonde / perturbation</w:t>
            </w:r>
          </w:p>
        </w:tc>
        <w:tc>
          <w:tcPr>
            <w:tcW w:type="dxa" w:w="3798"/>
            <w:shd w:fill="506A62"/>
            <w:tcMar>
              <w:top w:w="100" w:type="dxa"/>
              <w:start w:w="100" w:type="dxa"/>
              <w:bottom w:w="100" w:type="dxa"/>
              <w:end w:w="100" w:type="dxa"/>
            </w:tcMar>
          </w:tcPr>
          <w:p>
            <w:r>
              <w:rPr>
                <w:rFonts w:ascii="Aptos" w:hAnsi="Aptos"/>
                <w:b/>
                <w:color w:val="FFFFFF"/>
                <w:sz w:val="18"/>
              </w:rPr>
              <w:t>Ce qu’elle peut tester</w:t>
            </w:r>
          </w:p>
        </w:tc>
        <w:tc>
          <w:tcPr>
            <w:tcW w:type="dxa" w:w="3458"/>
            <w:shd w:fill="506A62"/>
            <w:tcMar>
              <w:top w:w="100" w:type="dxa"/>
              <w:start w:w="100" w:type="dxa"/>
              <w:bottom w:w="100" w:type="dxa"/>
              <w:end w:w="100" w:type="dxa"/>
            </w:tcMar>
          </w:tcPr>
          <w:p>
            <w:r>
              <w:rPr>
                <w:rFonts w:ascii="Aptos" w:hAnsi="Aptos"/>
                <w:b/>
                <w:color w:val="FFFFFF"/>
                <w:sz w:val="18"/>
              </w:rPr>
              <w:t>Risque d’interprétation</w:t>
            </w:r>
          </w:p>
        </w:tc>
      </w:tr>
      <w:tr>
        <w:trPr>
          <w:cantSplit/>
        </w:trPr>
        <w:tc>
          <w:tcPr>
            <w:tcW w:type="dxa" w:w="1814"/>
            <w:tcMar>
              <w:top w:w="100" w:type="dxa"/>
              <w:start w:w="100" w:type="dxa"/>
              <w:bottom w:w="100" w:type="dxa"/>
              <w:end w:w="100" w:type="dxa"/>
            </w:tcMar>
          </w:tcPr>
          <w:p>
            <w:r>
              <w:rPr>
                <w:rFonts w:ascii="Aptos" w:hAnsi="Aptos"/>
                <w:sz w:val="17"/>
              </w:rPr>
              <w:t>THz</w:t>
            </w:r>
          </w:p>
        </w:tc>
        <w:tc>
          <w:tcPr>
            <w:tcW w:type="dxa" w:w="3798"/>
            <w:tcMar>
              <w:top w:w="100" w:type="dxa"/>
              <w:start w:w="100" w:type="dxa"/>
              <w:bottom w:w="100" w:type="dxa"/>
              <w:end w:w="100" w:type="dxa"/>
            </w:tcMar>
          </w:tcPr>
          <w:p>
            <w:r>
              <w:rPr>
                <w:rFonts w:ascii="Aptos" w:hAnsi="Aptos"/>
                <w:sz w:val="17"/>
              </w:rPr>
              <w:t>Modes intermoléculaires collectifs, réseau H, couches d’hydratation</w:t>
            </w:r>
          </w:p>
        </w:tc>
        <w:tc>
          <w:tcPr>
            <w:tcW w:type="dxa" w:w="3458"/>
            <w:tcMar>
              <w:top w:w="100" w:type="dxa"/>
              <w:start w:w="100" w:type="dxa"/>
              <w:bottom w:w="100" w:type="dxa"/>
              <w:end w:w="100" w:type="dxa"/>
            </w:tcMar>
          </w:tcPr>
          <w:p>
            <w:r>
              <w:rPr>
                <w:rFonts w:ascii="Aptos" w:hAnsi="Aptos"/>
                <w:sz w:val="17"/>
              </w:rPr>
              <w:t>Une bande collective ≠ cohérence quantique.</w:t>
            </w:r>
          </w:p>
        </w:tc>
      </w:tr>
      <w:tr>
        <w:trPr>
          <w:cantSplit/>
        </w:trPr>
        <w:tc>
          <w:tcPr>
            <w:tcW w:type="dxa" w:w="1814"/>
            <w:tcMar>
              <w:top w:w="100" w:type="dxa"/>
              <w:start w:w="100" w:type="dxa"/>
              <w:bottom w:w="100" w:type="dxa"/>
              <w:end w:w="100" w:type="dxa"/>
            </w:tcMar>
          </w:tcPr>
          <w:p>
            <w:r>
              <w:rPr>
                <w:rFonts w:ascii="Aptos" w:hAnsi="Aptos"/>
                <w:sz w:val="17"/>
              </w:rPr>
              <w:t>IR / Raman</w:t>
            </w:r>
          </w:p>
        </w:tc>
        <w:tc>
          <w:tcPr>
            <w:tcW w:type="dxa" w:w="3798"/>
            <w:tcMar>
              <w:top w:w="100" w:type="dxa"/>
              <w:start w:w="100" w:type="dxa"/>
              <w:bottom w:w="100" w:type="dxa"/>
              <w:end w:w="100" w:type="dxa"/>
            </w:tcMar>
          </w:tcPr>
          <w:p>
            <w:r>
              <w:rPr>
                <w:rFonts w:ascii="Aptos" w:hAnsi="Aptos"/>
                <w:sz w:val="17"/>
              </w:rPr>
              <w:t>Vibrations intra/intermoléculaires, couplages, changements de réseau</w:t>
            </w:r>
          </w:p>
        </w:tc>
        <w:tc>
          <w:tcPr>
            <w:tcW w:type="dxa" w:w="3458"/>
            <w:tcMar>
              <w:top w:w="100" w:type="dxa"/>
              <w:start w:w="100" w:type="dxa"/>
              <w:bottom w:w="100" w:type="dxa"/>
              <w:end w:w="100" w:type="dxa"/>
            </w:tcMar>
          </w:tcPr>
          <w:p>
            <w:r>
              <w:rPr>
                <w:rFonts w:ascii="Aptos" w:hAnsi="Aptos"/>
                <w:sz w:val="17"/>
              </w:rPr>
              <w:t>Assignations multiples ; nécessité de simulation.</w:t>
            </w:r>
          </w:p>
        </w:tc>
      </w:tr>
      <w:tr>
        <w:trPr>
          <w:cantSplit/>
        </w:trPr>
        <w:tc>
          <w:tcPr>
            <w:tcW w:type="dxa" w:w="1814"/>
            <w:tcMar>
              <w:top w:w="100" w:type="dxa"/>
              <w:start w:w="100" w:type="dxa"/>
              <w:bottom w:w="100" w:type="dxa"/>
              <w:end w:w="100" w:type="dxa"/>
            </w:tcMar>
          </w:tcPr>
          <w:p>
            <w:r>
              <w:rPr>
                <w:rFonts w:ascii="Aptos" w:hAnsi="Aptos"/>
                <w:sz w:val="17"/>
              </w:rPr>
              <w:t>Diffusion neutronique / rayons X</w:t>
            </w:r>
          </w:p>
        </w:tc>
        <w:tc>
          <w:tcPr>
            <w:tcW w:type="dxa" w:w="3798"/>
            <w:tcMar>
              <w:top w:w="100" w:type="dxa"/>
              <w:start w:w="100" w:type="dxa"/>
              <w:bottom w:w="100" w:type="dxa"/>
              <w:end w:w="100" w:type="dxa"/>
            </w:tcMar>
          </w:tcPr>
          <w:p>
            <w:r>
              <w:rPr>
                <w:rFonts w:ascii="Aptos" w:hAnsi="Aptos"/>
                <w:sz w:val="17"/>
              </w:rPr>
              <w:t>Structure et dynamique, effets isotopiques</w:t>
            </w:r>
          </w:p>
        </w:tc>
        <w:tc>
          <w:tcPr>
            <w:tcW w:type="dxa" w:w="3458"/>
            <w:tcMar>
              <w:top w:w="100" w:type="dxa"/>
              <w:start w:w="100" w:type="dxa"/>
              <w:bottom w:w="100" w:type="dxa"/>
              <w:end w:w="100" w:type="dxa"/>
            </w:tcMar>
          </w:tcPr>
          <w:p>
            <w:r>
              <w:rPr>
                <w:rFonts w:ascii="Aptos" w:hAnsi="Aptos"/>
                <w:sz w:val="17"/>
              </w:rPr>
              <w:t>Structure moyenne peut masquer une dynamique riche.</w:t>
            </w:r>
          </w:p>
        </w:tc>
      </w:tr>
      <w:tr>
        <w:trPr>
          <w:cantSplit/>
        </w:trPr>
        <w:tc>
          <w:tcPr>
            <w:tcW w:type="dxa" w:w="1814"/>
            <w:tcMar>
              <w:top w:w="100" w:type="dxa"/>
              <w:start w:w="100" w:type="dxa"/>
              <w:bottom w:w="100" w:type="dxa"/>
              <w:end w:w="100" w:type="dxa"/>
            </w:tcMar>
          </w:tcPr>
          <w:p>
            <w:r>
              <w:rPr>
                <w:rFonts w:ascii="Aptos" w:hAnsi="Aptos"/>
                <w:sz w:val="17"/>
              </w:rPr>
              <w:t>Diélectrique</w:t>
            </w:r>
          </w:p>
        </w:tc>
        <w:tc>
          <w:tcPr>
            <w:tcW w:type="dxa" w:w="3798"/>
            <w:tcMar>
              <w:top w:w="100" w:type="dxa"/>
              <w:start w:w="100" w:type="dxa"/>
              <w:bottom w:w="100" w:type="dxa"/>
              <w:end w:w="100" w:type="dxa"/>
            </w:tcMar>
          </w:tcPr>
          <w:p>
            <w:r>
              <w:rPr>
                <w:rFonts w:ascii="Aptos" w:hAnsi="Aptos"/>
                <w:sz w:val="17"/>
              </w:rPr>
              <w:t>Relaxations collectives et réponse de polarisation</w:t>
            </w:r>
          </w:p>
        </w:tc>
        <w:tc>
          <w:tcPr>
            <w:tcW w:type="dxa" w:w="3458"/>
            <w:tcMar>
              <w:top w:w="100" w:type="dxa"/>
              <w:start w:w="100" w:type="dxa"/>
              <w:bottom w:w="100" w:type="dxa"/>
              <w:end w:w="100" w:type="dxa"/>
            </w:tcMar>
          </w:tcPr>
          <w:p>
            <w:r>
              <w:rPr>
                <w:rFonts w:ascii="Aptos" w:hAnsi="Aptos"/>
                <w:sz w:val="17"/>
              </w:rPr>
              <w:t>Réponses superposées et dépendance aux impuretés.</w:t>
            </w:r>
          </w:p>
        </w:tc>
      </w:tr>
      <w:tr>
        <w:trPr>
          <w:cantSplit/>
        </w:trPr>
        <w:tc>
          <w:tcPr>
            <w:tcW w:type="dxa" w:w="1814"/>
            <w:tcMar>
              <w:top w:w="100" w:type="dxa"/>
              <w:start w:w="100" w:type="dxa"/>
              <w:bottom w:w="100" w:type="dxa"/>
              <w:end w:w="100" w:type="dxa"/>
            </w:tcMar>
          </w:tcPr>
          <w:p>
            <w:r>
              <w:rPr>
                <w:rFonts w:ascii="Aptos" w:hAnsi="Aptos"/>
                <w:sz w:val="17"/>
              </w:rPr>
              <w:t>Calorimétrie / compressibilité / son</w:t>
            </w:r>
          </w:p>
        </w:tc>
        <w:tc>
          <w:tcPr>
            <w:tcW w:type="dxa" w:w="3798"/>
            <w:tcMar>
              <w:top w:w="100" w:type="dxa"/>
              <w:start w:w="100" w:type="dxa"/>
              <w:bottom w:w="100" w:type="dxa"/>
              <w:end w:w="100" w:type="dxa"/>
            </w:tcMar>
          </w:tcPr>
          <w:p>
            <w:r>
              <w:rPr>
                <w:rFonts w:ascii="Aptos" w:hAnsi="Aptos"/>
                <w:sz w:val="17"/>
              </w:rPr>
              <w:t>Signature thermodynamique d’un vrai changement de régime</w:t>
            </w:r>
          </w:p>
        </w:tc>
        <w:tc>
          <w:tcPr>
            <w:tcW w:type="dxa" w:w="3458"/>
            <w:tcMar>
              <w:top w:w="100" w:type="dxa"/>
              <w:start w:w="100" w:type="dxa"/>
              <w:bottom w:w="100" w:type="dxa"/>
              <w:end w:w="100" w:type="dxa"/>
            </w:tcMar>
          </w:tcPr>
          <w:p>
            <w:r>
              <w:rPr>
                <w:rFonts w:ascii="Aptos" w:hAnsi="Aptos"/>
                <w:sz w:val="17"/>
              </w:rPr>
              <w:t>Anomalie non spécifique ; contrôle méticuleux requis.</w:t>
            </w:r>
          </w:p>
        </w:tc>
      </w:tr>
      <w:tr>
        <w:trPr>
          <w:cantSplit/>
        </w:trPr>
        <w:tc>
          <w:tcPr>
            <w:tcW w:type="dxa" w:w="1814"/>
            <w:tcMar>
              <w:top w:w="100" w:type="dxa"/>
              <w:start w:w="100" w:type="dxa"/>
              <w:bottom w:w="100" w:type="dxa"/>
              <w:end w:w="100" w:type="dxa"/>
            </w:tcMar>
          </w:tcPr>
          <w:p>
            <w:r>
              <w:rPr>
                <w:rFonts w:ascii="Aptos" w:hAnsi="Aptos"/>
                <w:sz w:val="17"/>
              </w:rPr>
              <w:t>Confinement / interface</w:t>
            </w:r>
          </w:p>
        </w:tc>
        <w:tc>
          <w:tcPr>
            <w:tcW w:type="dxa" w:w="3798"/>
            <w:tcMar>
              <w:top w:w="100" w:type="dxa"/>
              <w:start w:w="100" w:type="dxa"/>
              <w:bottom w:w="100" w:type="dxa"/>
              <w:end w:w="100" w:type="dxa"/>
            </w:tcMar>
          </w:tcPr>
          <w:p>
            <w:r>
              <w:rPr>
                <w:rFonts w:ascii="Aptos" w:hAnsi="Aptos"/>
                <w:sz w:val="17"/>
              </w:rPr>
              <w:t>Portée des perturbations et modification des modes</w:t>
            </w:r>
          </w:p>
        </w:tc>
        <w:tc>
          <w:tcPr>
            <w:tcW w:type="dxa" w:w="3458"/>
            <w:tcMar>
              <w:top w:w="100" w:type="dxa"/>
              <w:start w:w="100" w:type="dxa"/>
              <w:bottom w:w="100" w:type="dxa"/>
              <w:end w:w="100" w:type="dxa"/>
            </w:tcMar>
          </w:tcPr>
          <w:p>
            <w:r>
              <w:rPr>
                <w:rFonts w:ascii="Aptos" w:hAnsi="Aptos"/>
                <w:sz w:val="17"/>
              </w:rPr>
              <w:t>Effets géométriques classiques dominants possibles.</w:t>
            </w:r>
          </w:p>
        </w:tc>
      </w:tr>
      <w:tr>
        <w:trPr>
          <w:cantSplit/>
        </w:trPr>
        <w:tc>
          <w:tcPr>
            <w:tcW w:type="dxa" w:w="1814"/>
            <w:tcMar>
              <w:top w:w="100" w:type="dxa"/>
              <w:start w:w="100" w:type="dxa"/>
              <w:bottom w:w="100" w:type="dxa"/>
              <w:end w:w="100" w:type="dxa"/>
            </w:tcMar>
          </w:tcPr>
          <w:p>
            <w:r>
              <w:rPr>
                <w:rFonts w:ascii="Aptos" w:hAnsi="Aptos"/>
                <w:sz w:val="17"/>
              </w:rPr>
              <w:t>H₂O / D₂O</w:t>
            </w:r>
          </w:p>
        </w:tc>
        <w:tc>
          <w:tcPr>
            <w:tcW w:type="dxa" w:w="3798"/>
            <w:tcMar>
              <w:top w:w="100" w:type="dxa"/>
              <w:start w:w="100" w:type="dxa"/>
              <w:bottom w:w="100" w:type="dxa"/>
              <w:end w:w="100" w:type="dxa"/>
            </w:tcMar>
          </w:tcPr>
          <w:p>
            <w:r>
              <w:rPr>
                <w:rFonts w:ascii="Aptos" w:hAnsi="Aptos"/>
                <w:sz w:val="17"/>
              </w:rPr>
              <w:t>Sensibilité aux masses nucléaires et NQE</w:t>
            </w:r>
          </w:p>
        </w:tc>
        <w:tc>
          <w:tcPr>
            <w:tcW w:type="dxa" w:w="3458"/>
            <w:tcMar>
              <w:top w:w="100" w:type="dxa"/>
              <w:start w:w="100" w:type="dxa"/>
              <w:bottom w:w="100" w:type="dxa"/>
              <w:end w:w="100" w:type="dxa"/>
            </w:tcMar>
          </w:tcPr>
          <w:p>
            <w:r>
              <w:rPr>
                <w:rFonts w:ascii="Aptos" w:hAnsi="Aptos"/>
                <w:sz w:val="17"/>
              </w:rPr>
              <w:t>Toute différence isotopique n’est pas « quantique ».</w:t>
            </w:r>
          </w:p>
        </w:tc>
      </w:tr>
    </w:tbl>
    <w:p>
      <w:pPr>
        <w:widowControl/>
        <w:spacing w:after="0"/>
      </w:pPr>
    </w:p>
    <w:p>
      <w:pPr>
        <w:pStyle w:val="Heading2"/>
        <w:widowControl/>
      </w:pPr>
      <w:r>
        <w:t>9.1. Carte Coda</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M_Coda : (ω, T, P, ρ, perturbation) → (S, D, ξ, τ, A, F)</w:t>
            </w:r>
          </w:p>
        </w:tc>
      </w:tr>
    </w:tbl>
    <w:p>
      <w:pPr>
        <w:widowControl/>
        <w:spacing w:after="0"/>
      </w:pPr>
    </w:p>
    <w:p>
      <w:pPr>
        <w:widowControl/>
        <w:spacing w:after="120"/>
      </w:pPr>
      <w:r>
        <w:rPr>
          <w:rFonts w:ascii="Aptos" w:hAnsi="Aptos"/>
          <w:i w:val="0"/>
        </w:rPr>
        <w:t>Une carte de ce type serait déjà un résultat utile, même si Q_C et Q_E restent nuls ou non démontrés. Coda Ater II doit pouvoir réussir sans nouvelle phase.</w:t>
      </w:r>
    </w:p>
    <w:p>
      <w:pPr>
        <w:pStyle w:val="Heading1"/>
        <w:widowControl/>
      </w:pPr>
      <w:r>
        <w:t>10. Hiérarchie d’hypothèses et critères de preuve</w:t>
      </w:r>
    </w:p>
    <w:tbl>
      <w:tblPr>
        <w:tblStyle w:val="TableGrid"/>
        <w:tblW w:type="auto" w:w="0"/>
        <w:jc w:val="center"/>
        <w:tblLook w:firstColumn="1" w:firstRow="1" w:lastColumn="0" w:lastRow="0" w:noHBand="0" w:noVBand="1" w:val="04A0"/>
      </w:tblPr>
      <w:tblGrid>
        <w:gridCol w:w="2394"/>
        <w:gridCol w:w="2394"/>
        <w:gridCol w:w="2394"/>
        <w:gridCol w:w="2394"/>
      </w:tblGrid>
      <w:tr>
        <w:trPr>
          <w:cantSplit/>
        </w:trPr>
        <w:tc>
          <w:tcPr>
            <w:tcW w:type="dxa" w:w="737"/>
            <w:shd w:fill="506A62"/>
            <w:tcMar>
              <w:top w:w="100" w:type="dxa"/>
              <w:start w:w="100" w:type="dxa"/>
              <w:bottom w:w="100" w:type="dxa"/>
              <w:end w:w="100" w:type="dxa"/>
            </w:tcMar>
          </w:tcPr>
          <w:p>
            <w:r>
              <w:rPr>
                <w:rFonts w:ascii="Aptos" w:hAnsi="Aptos"/>
                <w:b/>
                <w:color w:val="FFFFFF"/>
                <w:sz w:val="18"/>
              </w:rPr>
              <w:t>Niveau</w:t>
            </w:r>
          </w:p>
        </w:tc>
        <w:tc>
          <w:tcPr>
            <w:tcW w:type="dxa" w:w="2891"/>
            <w:shd w:fill="506A62"/>
            <w:tcMar>
              <w:top w:w="100" w:type="dxa"/>
              <w:start w:w="100" w:type="dxa"/>
              <w:bottom w:w="100" w:type="dxa"/>
              <w:end w:w="100" w:type="dxa"/>
            </w:tcMar>
          </w:tcPr>
          <w:p>
            <w:r>
              <w:rPr>
                <w:rFonts w:ascii="Aptos" w:hAnsi="Aptos"/>
                <w:b/>
                <w:color w:val="FFFFFF"/>
                <w:sz w:val="18"/>
              </w:rPr>
              <w:t>Hypothèse</w:t>
            </w:r>
          </w:p>
        </w:tc>
        <w:tc>
          <w:tcPr>
            <w:tcW w:type="dxa" w:w="2948"/>
            <w:shd w:fill="506A62"/>
            <w:tcMar>
              <w:top w:w="100" w:type="dxa"/>
              <w:start w:w="100" w:type="dxa"/>
              <w:bottom w:w="100" w:type="dxa"/>
              <w:end w:w="100" w:type="dxa"/>
            </w:tcMar>
          </w:tcPr>
          <w:p>
            <w:r>
              <w:rPr>
                <w:rFonts w:ascii="Aptos" w:hAnsi="Aptos"/>
                <w:b/>
                <w:color w:val="FFFFFF"/>
                <w:sz w:val="18"/>
              </w:rPr>
              <w:t>Ce qui ferait progresser</w:t>
            </w:r>
          </w:p>
        </w:tc>
        <w:tc>
          <w:tcPr>
            <w:tcW w:type="dxa" w:w="2551"/>
            <w:shd w:fill="506A62"/>
            <w:tcMar>
              <w:top w:w="100" w:type="dxa"/>
              <w:start w:w="100" w:type="dxa"/>
              <w:bottom w:w="100" w:type="dxa"/>
              <w:end w:w="100" w:type="dxa"/>
            </w:tcMar>
          </w:tcPr>
          <w:p>
            <w:r>
              <w:rPr>
                <w:rFonts w:ascii="Aptos" w:hAnsi="Aptos"/>
                <w:b/>
                <w:color w:val="FFFFFF"/>
                <w:sz w:val="18"/>
              </w:rPr>
              <w:t>Ce qui suffit à l’arrêter</w:t>
            </w:r>
          </w:p>
        </w:tc>
      </w:tr>
      <w:tr>
        <w:trPr>
          <w:cantSplit/>
        </w:trPr>
        <w:tc>
          <w:tcPr>
            <w:tcW w:type="dxa" w:w="737"/>
            <w:tcMar>
              <w:top w:w="100" w:type="dxa"/>
              <w:start w:w="100" w:type="dxa"/>
              <w:bottom w:w="100" w:type="dxa"/>
              <w:end w:w="100" w:type="dxa"/>
            </w:tcMar>
          </w:tcPr>
          <w:p>
            <w:r>
              <w:rPr>
                <w:rFonts w:ascii="Aptos" w:hAnsi="Aptos"/>
                <w:sz w:val="17"/>
              </w:rPr>
              <w:t>H0</w:t>
            </w:r>
          </w:p>
        </w:tc>
        <w:tc>
          <w:tcPr>
            <w:tcW w:type="dxa" w:w="2891"/>
            <w:tcMar>
              <w:top w:w="100" w:type="dxa"/>
              <w:start w:w="100" w:type="dxa"/>
              <w:bottom w:w="100" w:type="dxa"/>
              <w:end w:w="100" w:type="dxa"/>
            </w:tcMar>
          </w:tcPr>
          <w:p>
            <w:r>
              <w:rPr>
                <w:rFonts w:ascii="Aptos" w:hAnsi="Aptos"/>
                <w:sz w:val="17"/>
              </w:rPr>
              <w:t>Toute l’observation est expliquée par l’eau conventionnelle + interactions connues.</w:t>
            </w:r>
          </w:p>
        </w:tc>
        <w:tc>
          <w:tcPr>
            <w:tcW w:type="dxa" w:w="2948"/>
            <w:tcMar>
              <w:top w:w="100" w:type="dxa"/>
              <w:start w:w="100" w:type="dxa"/>
              <w:bottom w:w="100" w:type="dxa"/>
              <w:end w:w="100" w:type="dxa"/>
            </w:tcMar>
          </w:tcPr>
          <w:p>
            <w:r>
              <w:rPr>
                <w:rFonts w:ascii="Aptos" w:hAnsi="Aptos"/>
                <w:sz w:val="17"/>
              </w:rPr>
              <w:t>Écart reproductible non expliqué par le modèle de référence.</w:t>
            </w:r>
          </w:p>
        </w:tc>
        <w:tc>
          <w:tcPr>
            <w:tcW w:type="dxa" w:w="2551"/>
            <w:tcMar>
              <w:top w:w="100" w:type="dxa"/>
              <w:start w:w="100" w:type="dxa"/>
              <w:bottom w:w="100" w:type="dxa"/>
              <w:end w:w="100" w:type="dxa"/>
            </w:tcMar>
          </w:tcPr>
          <w:p>
            <w:r>
              <w:rPr>
                <w:rFonts w:ascii="Aptos" w:hAnsi="Aptos"/>
                <w:sz w:val="17"/>
              </w:rPr>
              <w:t>Référence réaliste reproduisant données et seuils.</w:t>
            </w:r>
          </w:p>
        </w:tc>
      </w:tr>
      <w:tr>
        <w:trPr>
          <w:cantSplit/>
        </w:trPr>
        <w:tc>
          <w:tcPr>
            <w:tcW w:type="dxa" w:w="737"/>
            <w:tcMar>
              <w:top w:w="100" w:type="dxa"/>
              <w:start w:w="100" w:type="dxa"/>
              <w:bottom w:w="100" w:type="dxa"/>
              <w:end w:w="100" w:type="dxa"/>
            </w:tcMar>
          </w:tcPr>
          <w:p>
            <w:r>
              <w:rPr>
                <w:rFonts w:ascii="Aptos" w:hAnsi="Aptos"/>
                <w:sz w:val="17"/>
              </w:rPr>
              <w:t>H1</w:t>
            </w:r>
          </w:p>
        </w:tc>
        <w:tc>
          <w:tcPr>
            <w:tcW w:type="dxa" w:w="2891"/>
            <w:tcMar>
              <w:top w:w="100" w:type="dxa"/>
              <w:start w:w="100" w:type="dxa"/>
              <w:bottom w:w="100" w:type="dxa"/>
              <w:end w:w="100" w:type="dxa"/>
            </w:tcMar>
          </w:tcPr>
          <w:p>
            <w:r>
              <w:rPr>
                <w:rFonts w:ascii="Aptos" w:hAnsi="Aptos"/>
                <w:sz w:val="17"/>
              </w:rPr>
              <w:t>Il existe un régime collectif classique distinct/crossover.</w:t>
            </w:r>
          </w:p>
        </w:tc>
        <w:tc>
          <w:tcPr>
            <w:tcW w:type="dxa" w:w="2948"/>
            <w:tcMar>
              <w:top w:w="100" w:type="dxa"/>
              <w:start w:w="100" w:type="dxa"/>
              <w:bottom w:w="100" w:type="dxa"/>
              <w:end w:w="100" w:type="dxa"/>
            </w:tcMar>
          </w:tcPr>
          <w:p>
            <w:r>
              <w:rPr>
                <w:rFonts w:ascii="Aptos" w:hAnsi="Aptos"/>
                <w:sz w:val="17"/>
              </w:rPr>
              <w:t>D,ξ,τ convergents + changement de dynamique robuste.</w:t>
            </w:r>
          </w:p>
        </w:tc>
        <w:tc>
          <w:tcPr>
            <w:tcW w:type="dxa" w:w="2551"/>
            <w:tcMar>
              <w:top w:w="100" w:type="dxa"/>
              <w:start w:w="100" w:type="dxa"/>
              <w:bottom w:w="100" w:type="dxa"/>
              <w:end w:w="100" w:type="dxa"/>
            </w:tcMar>
          </w:tcPr>
          <w:p>
            <w:r>
              <w:rPr>
                <w:rFonts w:ascii="Aptos" w:hAnsi="Aptos"/>
                <w:sz w:val="17"/>
              </w:rPr>
              <w:t>Signaux expliqués par densité, viscosité ou artefacts.</w:t>
            </w:r>
          </w:p>
        </w:tc>
      </w:tr>
      <w:tr>
        <w:trPr>
          <w:cantSplit/>
        </w:trPr>
        <w:tc>
          <w:tcPr>
            <w:tcW w:type="dxa" w:w="737"/>
            <w:tcMar>
              <w:top w:w="100" w:type="dxa"/>
              <w:start w:w="100" w:type="dxa"/>
              <w:bottom w:w="100" w:type="dxa"/>
              <w:end w:w="100" w:type="dxa"/>
            </w:tcMar>
          </w:tcPr>
          <w:p>
            <w:r>
              <w:rPr>
                <w:rFonts w:ascii="Aptos" w:hAnsi="Aptos"/>
                <w:sz w:val="17"/>
              </w:rPr>
              <w:t>H2</w:t>
            </w:r>
          </w:p>
        </w:tc>
        <w:tc>
          <w:tcPr>
            <w:tcW w:type="dxa" w:w="2891"/>
            <w:tcMar>
              <w:top w:w="100" w:type="dxa"/>
              <w:start w:w="100" w:type="dxa"/>
              <w:bottom w:w="100" w:type="dxa"/>
              <w:end w:w="100" w:type="dxa"/>
            </w:tcMar>
          </w:tcPr>
          <w:p>
            <w:r>
              <w:rPr>
                <w:rFonts w:ascii="Aptos" w:hAnsi="Aptos"/>
                <w:sz w:val="17"/>
              </w:rPr>
              <w:t>Les effets quantiques nucléaires modifient substantiellement ce régime collectif.</w:t>
            </w:r>
          </w:p>
        </w:tc>
        <w:tc>
          <w:tcPr>
            <w:tcW w:type="dxa" w:w="2948"/>
            <w:tcMar>
              <w:top w:w="100" w:type="dxa"/>
              <w:start w:w="100" w:type="dxa"/>
              <w:bottom w:w="100" w:type="dxa"/>
              <w:end w:w="100" w:type="dxa"/>
            </w:tcMar>
          </w:tcPr>
          <w:p>
            <w:r>
              <w:rPr>
                <w:rFonts w:ascii="Aptos" w:hAnsi="Aptos"/>
                <w:sz w:val="17"/>
              </w:rPr>
              <w:t>Différence classique/path-integral + H₂O/D₂O cohérente.</w:t>
            </w:r>
          </w:p>
        </w:tc>
        <w:tc>
          <w:tcPr>
            <w:tcW w:type="dxa" w:w="2551"/>
            <w:tcMar>
              <w:top w:w="100" w:type="dxa"/>
              <w:start w:w="100" w:type="dxa"/>
              <w:bottom w:w="100" w:type="dxa"/>
              <w:end w:w="100" w:type="dxa"/>
            </w:tcMar>
          </w:tcPr>
          <w:p>
            <w:r>
              <w:rPr>
                <w:rFonts w:ascii="Aptos" w:hAnsi="Aptos"/>
                <w:sz w:val="17"/>
              </w:rPr>
              <w:t>Aucun gain explicatif au-delà des corrections classiques.</w:t>
            </w:r>
          </w:p>
        </w:tc>
      </w:tr>
      <w:tr>
        <w:trPr>
          <w:cantSplit/>
        </w:trPr>
        <w:tc>
          <w:tcPr>
            <w:tcW w:type="dxa" w:w="737"/>
            <w:tcMar>
              <w:top w:w="100" w:type="dxa"/>
              <w:start w:w="100" w:type="dxa"/>
              <w:bottom w:w="100" w:type="dxa"/>
              <w:end w:w="100" w:type="dxa"/>
            </w:tcMar>
          </w:tcPr>
          <w:p>
            <w:r>
              <w:rPr>
                <w:rFonts w:ascii="Aptos" w:hAnsi="Aptos"/>
                <w:sz w:val="17"/>
              </w:rPr>
              <w:t>H3</w:t>
            </w:r>
          </w:p>
        </w:tc>
        <w:tc>
          <w:tcPr>
            <w:tcW w:type="dxa" w:w="2891"/>
            <w:tcMar>
              <w:top w:w="100" w:type="dxa"/>
              <w:start w:w="100" w:type="dxa"/>
              <w:bottom w:w="100" w:type="dxa"/>
              <w:end w:w="100" w:type="dxa"/>
            </w:tcMar>
          </w:tcPr>
          <w:p>
            <w:r>
              <w:rPr>
                <w:rFonts w:ascii="Aptos" w:hAnsi="Aptos"/>
                <w:sz w:val="17"/>
              </w:rPr>
              <w:t>Il existe une cohérence quantique collective non triviale.</w:t>
            </w:r>
          </w:p>
        </w:tc>
        <w:tc>
          <w:tcPr>
            <w:tcW w:type="dxa" w:w="2948"/>
            <w:tcMar>
              <w:top w:w="100" w:type="dxa"/>
              <w:start w:w="100" w:type="dxa"/>
              <w:bottom w:w="100" w:type="dxa"/>
              <w:end w:w="100" w:type="dxa"/>
            </w:tcMar>
          </w:tcPr>
          <w:p>
            <w:r>
              <w:rPr>
                <w:rFonts w:ascii="Aptos" w:hAnsi="Aptos"/>
                <w:sz w:val="17"/>
              </w:rPr>
              <w:t>Observable/témoin impossible à reproduire par un mélange classique approprié.</w:t>
            </w:r>
          </w:p>
        </w:tc>
        <w:tc>
          <w:tcPr>
            <w:tcW w:type="dxa" w:w="2551"/>
            <w:tcMar>
              <w:top w:w="100" w:type="dxa"/>
              <w:start w:w="100" w:type="dxa"/>
              <w:bottom w:w="100" w:type="dxa"/>
              <w:end w:w="100" w:type="dxa"/>
            </w:tcMar>
          </w:tcPr>
          <w:p>
            <w:r>
              <w:rPr>
                <w:rFonts w:ascii="Aptos" w:hAnsi="Aptos"/>
                <w:sz w:val="17"/>
              </w:rPr>
              <w:t>Corrélations décrites sans cohérence quantique.</w:t>
            </w:r>
          </w:p>
        </w:tc>
      </w:tr>
      <w:tr>
        <w:trPr>
          <w:cantSplit/>
        </w:trPr>
        <w:tc>
          <w:tcPr>
            <w:tcW w:type="dxa" w:w="737"/>
            <w:tcMar>
              <w:top w:w="100" w:type="dxa"/>
              <w:start w:w="100" w:type="dxa"/>
              <w:bottom w:w="100" w:type="dxa"/>
              <w:end w:w="100" w:type="dxa"/>
            </w:tcMar>
          </w:tcPr>
          <w:p>
            <w:r>
              <w:rPr>
                <w:rFonts w:ascii="Aptos" w:hAnsi="Aptos"/>
                <w:sz w:val="17"/>
              </w:rPr>
              <w:t>H4</w:t>
            </w:r>
          </w:p>
        </w:tc>
        <w:tc>
          <w:tcPr>
            <w:tcW w:type="dxa" w:w="2891"/>
            <w:tcMar>
              <w:top w:w="100" w:type="dxa"/>
              <w:start w:w="100" w:type="dxa"/>
              <w:bottom w:w="100" w:type="dxa"/>
              <w:end w:w="100" w:type="dxa"/>
            </w:tcMar>
          </w:tcPr>
          <w:p>
            <w:r>
              <w:rPr>
                <w:rFonts w:ascii="Aptos" w:hAnsi="Aptos"/>
                <w:sz w:val="17"/>
              </w:rPr>
              <w:t>Il existe une nouvelle phase thermodynamique.</w:t>
            </w:r>
          </w:p>
        </w:tc>
        <w:tc>
          <w:tcPr>
            <w:tcW w:type="dxa" w:w="2948"/>
            <w:tcMar>
              <w:top w:w="100" w:type="dxa"/>
              <w:start w:w="100" w:type="dxa"/>
              <w:bottom w:w="100" w:type="dxa"/>
              <w:end w:w="100" w:type="dxa"/>
            </w:tcMar>
          </w:tcPr>
          <w:p>
            <w:r>
              <w:rPr>
                <w:rFonts w:ascii="Aptos" w:hAnsi="Aptos"/>
                <w:sz w:val="17"/>
              </w:rPr>
              <w:t>Nouveau minimum/branche de F, transition/coexistence et observables indépendantes.</w:t>
            </w:r>
          </w:p>
        </w:tc>
        <w:tc>
          <w:tcPr>
            <w:tcW w:type="dxa" w:w="2551"/>
            <w:tcMar>
              <w:top w:w="100" w:type="dxa"/>
              <w:start w:w="100" w:type="dxa"/>
              <w:bottom w:w="100" w:type="dxa"/>
              <w:end w:w="100" w:type="dxa"/>
            </w:tcMar>
          </w:tcPr>
          <w:p>
            <w:r>
              <w:rPr>
                <w:rFonts w:ascii="Aptos" w:hAnsi="Aptos"/>
                <w:sz w:val="17"/>
              </w:rPr>
              <w:t>Simple crossover sans singularité/branche thermodynamique distincte.</w:t>
            </w:r>
          </w:p>
        </w:tc>
      </w:tr>
    </w:tbl>
    <w:p>
      <w:pPr>
        <w:widowControl/>
        <w:spacing w:after="0"/>
      </w:pPr>
    </w:p>
    <w:tbl>
      <w:tblPr>
        <w:tblW w:type="auto" w:w="0"/>
        <w:jc w:val="center"/>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r>
              <w:rPr>
                <w:rFonts w:ascii="Aptos" w:hAnsi="Aptos"/>
                <w:b/>
                <w:color w:val="506A62"/>
              </w:rPr>
              <w:t xml:space="preserve">Règle. </w:t>
            </w:r>
            <w:r>
              <w:rPr>
                <w:rFonts w:ascii="Aptos" w:hAnsi="Aptos"/>
              </w:rPr>
              <w:t>Chaque niveau doit battre le niveau inférieur. On ne monte pas à H3 parce que H1 est intéressant, et on ne monte pas à H4 parce qu’une signature spectrale est spectaculaire.</w:t>
            </w:r>
          </w:p>
        </w:tc>
      </w:tr>
    </w:tbl>
    <w:p>
      <w:pPr>
        <w:widowControl/>
        <w:spacing w:after="0"/>
      </w:pPr>
    </w:p>
    <w:p>
      <w:pPr>
        <w:pStyle w:val="Heading1"/>
        <w:widowControl/>
      </w:pPr>
      <w:r>
        <w:t>11. Prédictions et réfutations décisives</w:t>
      </w:r>
    </w:p>
    <w:p>
      <w:pPr>
        <w:pStyle w:val="Heading2"/>
        <w:widowControl/>
      </w:pPr>
      <w:r>
        <w:t>11.1. Prédiction P1 — croissance coordonnée</w:t>
      </w:r>
    </w:p>
    <w:p>
      <w:pPr>
        <w:widowControl/>
        <w:spacing w:after="120"/>
      </w:pPr>
      <w:r>
        <w:rPr>
          <w:rFonts w:ascii="Aptos" w:hAnsi="Aptos"/>
          <w:i w:val="0"/>
        </w:rPr>
        <w:t>Si un régime collectif réellement nouveau apparaît, la portée spatiale et la persistance ne devraient pas varier de manière totalement indépendante. On attend au minimum une région où plusieurs indicateurs changent de concert :</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D ↑    ξ ↑    τ ↑    (et éventuellement susceptibilités ↑)</w:t>
            </w:r>
          </w:p>
        </w:tc>
      </w:tr>
    </w:tbl>
    <w:p>
      <w:pPr>
        <w:widowControl/>
        <w:spacing w:after="0"/>
      </w:pPr>
    </w:p>
    <w:p>
      <w:pPr>
        <w:widowControl/>
        <w:spacing w:after="120"/>
      </w:pPr>
      <w:r>
        <w:rPr>
          <w:rFonts w:ascii="Aptos" w:hAnsi="Aptos"/>
          <w:i w:val="0"/>
        </w:rPr>
        <w:t>Si aucun domaine de paramètres ne produit une convergence de plusieurs indicateurs, la version « seuil collectif » de Coda Ater est affaiblie.</w:t>
      </w:r>
    </w:p>
    <w:p>
      <w:pPr>
        <w:pStyle w:val="Heading2"/>
        <w:widowControl/>
      </w:pPr>
      <w:r>
        <w:t>11.2. Prédiction P2 — fermeture dynamique</w:t>
      </w:r>
    </w:p>
    <w:p>
      <w:pPr>
        <w:widowControl/>
        <w:spacing w:after="120"/>
      </w:pPr>
      <w:r>
        <w:rPr>
          <w:rFonts w:ascii="Aptos" w:hAnsi="Aptos"/>
          <w:i w:val="0"/>
        </w:rPr>
        <w:t>Si structure et modes se stabilisent mutuellement, D(t) doit apporter une information prédictive sur S(t+Δt) après contrôle de S(t), et réciproquement. Une simple corrélation due à T ou ρ ne suffit pas.</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S_t → D_(t+Δ)   et   D_t → S_(t+Δ)  après contrôles</w:t>
            </w:r>
          </w:p>
        </w:tc>
      </w:tr>
    </w:tbl>
    <w:p>
      <w:pPr>
        <w:widowControl/>
        <w:spacing w:after="0"/>
      </w:pPr>
    </w:p>
    <w:p>
      <w:pPr>
        <w:pStyle w:val="Heading2"/>
        <w:widowControl/>
      </w:pPr>
      <w:r>
        <w:t>11.3. Prédiction P3 — isotopie discriminante</w:t>
      </w:r>
    </w:p>
    <w:p>
      <w:pPr>
        <w:widowControl/>
        <w:spacing w:after="120"/>
      </w:pPr>
      <w:r>
        <w:rPr>
          <w:rFonts w:ascii="Aptos" w:hAnsi="Aptos"/>
          <w:i w:val="0"/>
        </w:rPr>
        <w:t>Si les effets quantiques nucléaires participent au seuil, une simulation classique et une simulation quantique ne doivent pas seulement différer en amplitude ; elles doivent prédire différemment la position, la largeur ou la topologie du domaine collectif, avec une comparaison H₂O/D₂O cohérente avec l’expérience.</w:t>
      </w:r>
    </w:p>
    <w:p>
      <w:pPr>
        <w:pStyle w:val="Heading2"/>
        <w:widowControl/>
      </w:pPr>
      <w:r>
        <w:t>11.4. Prédiction P4 — thermodynamique tardive</w:t>
      </w:r>
    </w:p>
    <w:p>
      <w:pPr>
        <w:widowControl/>
        <w:spacing w:after="120"/>
      </w:pPr>
      <w:r>
        <w:rPr>
          <w:rFonts w:ascii="Aptos" w:hAnsi="Aptos"/>
          <w:i w:val="0"/>
        </w:rPr>
        <w:t>Une nouvelle phase exige une signature thermodynamique compatible avec un nouveau paysage de libre énergie. Si les indicateurs collectifs changent sans nouvelle branche thermodynamique, la sortie correcte est « crossover/régime dynamique », pas « phase ».</w:t>
      </w:r>
    </w:p>
    <w:p>
      <w:pPr>
        <w:pStyle w:val="Heading2"/>
        <w:widowControl/>
      </w:pPr>
      <w:r>
        <w:t>11.5. Les trois résultats qui feraient abandonner la version forte</w:t>
      </w:r>
    </w:p>
    <w:p>
      <w:pPr>
        <w:pStyle w:val="ListBullet"/>
        <w:widowControl/>
        <w:spacing w:after="60"/>
      </w:pPr>
      <w:r>
        <w:rPr>
          <w:rFonts w:ascii="Aptos" w:hAnsi="Aptos"/>
        </w:rPr>
        <w:t>Une dynamique moléculaire de référence reproduit toutes les anomalies supposées sans variable collective supplémentaire.</w:t>
      </w:r>
    </w:p>
    <w:p>
      <w:pPr>
        <w:pStyle w:val="ListBullet"/>
        <w:widowControl/>
        <w:spacing w:after="60"/>
      </w:pPr>
      <w:r>
        <w:rPr>
          <w:rFonts w:ascii="Aptos" w:hAnsi="Aptos"/>
        </w:rPr>
        <w:t>D, ξ et τ ne montrent aucune structure de seuil robuste lorsque les contrôles de densité, viscosité, taille de boîte et méthode d’analyse sont appliqués.</w:t>
      </w:r>
    </w:p>
    <w:p>
      <w:pPr>
        <w:pStyle w:val="ListBullet"/>
        <w:widowControl/>
        <w:spacing w:after="60"/>
      </w:pPr>
      <w:r>
        <w:rPr>
          <w:rFonts w:ascii="Aptos" w:hAnsi="Aptos"/>
        </w:rPr>
        <w:t>Les différences H₂O/D₂O et classique/quantique restent quantitativement expliquées par des effets connus sans nécessité d’un régime collectif nouveau.</w:t>
      </w:r>
    </w:p>
    <w:p>
      <w:pPr>
        <w:pStyle w:val="Heading1"/>
        <w:widowControl/>
      </w:pPr>
      <w:r>
        <w:t>12. Ce que Coda Ater II ne prétend pas démontrer</w:t>
      </w:r>
    </w:p>
    <w:p>
      <w:pPr>
        <w:pStyle w:val="ListBullet"/>
        <w:widowControl/>
        <w:spacing w:after="60"/>
      </w:pPr>
      <w:r>
        <w:rPr>
          <w:rFonts w:ascii="Aptos" w:hAnsi="Aptos"/>
        </w:rPr>
        <w:t>Une condensation Bose-Einstein de molécules H₂O à température ambiante.</w:t>
      </w:r>
    </w:p>
    <w:p>
      <w:pPr>
        <w:pStyle w:val="ListBullet"/>
        <w:widowControl/>
        <w:spacing w:after="60"/>
      </w:pPr>
      <w:r>
        <w:rPr>
          <w:rFonts w:ascii="Aptos" w:hAnsi="Aptos"/>
        </w:rPr>
        <w:t>Une « mémoire de l’eau » au sens de conservation d’une information spécifique après disparition de sa cause.</w:t>
      </w:r>
    </w:p>
    <w:p>
      <w:pPr>
        <w:pStyle w:val="ListBullet"/>
        <w:widowControl/>
        <w:spacing w:after="60"/>
      </w:pPr>
      <w:r>
        <w:rPr>
          <w:rFonts w:ascii="Aptos" w:hAnsi="Aptos"/>
        </w:rPr>
        <w:t>Un champ biologique quantique global.</w:t>
      </w:r>
    </w:p>
    <w:p>
      <w:pPr>
        <w:pStyle w:val="ListBullet"/>
        <w:widowControl/>
        <w:spacing w:after="60"/>
      </w:pPr>
      <w:r>
        <w:rPr>
          <w:rFonts w:ascii="Aptos" w:hAnsi="Aptos"/>
        </w:rPr>
        <w:t>Une intrication macroscopique dans l’eau ordinaire.</w:t>
      </w:r>
    </w:p>
    <w:p>
      <w:pPr>
        <w:pStyle w:val="ListBullet"/>
        <w:widowControl/>
        <w:spacing w:after="60"/>
      </w:pPr>
      <w:r>
        <w:rPr>
          <w:rFonts w:ascii="Aptos" w:hAnsi="Aptos"/>
        </w:rPr>
        <w:t>Une cinquième interaction fondamentale.</w:t>
      </w:r>
    </w:p>
    <w:p>
      <w:pPr>
        <w:pStyle w:val="ListBullet"/>
        <w:widowControl/>
        <w:spacing w:after="60"/>
      </w:pPr>
      <w:r>
        <w:rPr>
          <w:rFonts w:ascii="Aptos" w:hAnsi="Aptos"/>
        </w:rPr>
        <w:t>L’identité entre les concepts ZEON et des objets physiques établis.</w:t>
      </w:r>
    </w:p>
    <w:p>
      <w:pPr>
        <w:widowControl/>
        <w:spacing w:after="120"/>
      </w:pPr>
      <w:r>
        <w:rPr>
          <w:rFonts w:ascii="Aptos" w:hAnsi="Aptos"/>
          <w:i w:val="0"/>
        </w:rPr>
        <w:t>Ces thèmes peuvent être discutés comme horizons de recherche ou transductions, mais leur présence dans le même document ne doit jamais être interprétée comme une chaîne de déduction.</w:t>
      </w:r>
    </w:p>
    <w:p>
      <w:pPr>
        <w:pStyle w:val="Heading1"/>
        <w:widowControl/>
      </w:pPr>
      <w:r>
        <w:t>13. Questions proposées à Luca et Jean-François</w:t>
      </w:r>
    </w:p>
    <w:p>
      <w:pPr>
        <w:widowControl/>
        <w:spacing w:after="80"/>
        <w:ind w:left="113" w:hanging="113"/>
      </w:pPr>
      <w:r>
        <w:rPr>
          <w:rFonts w:ascii="Aptos" w:hAnsi="Aptos"/>
          <w:b/>
        </w:rPr>
        <w:t xml:space="preserve">1. </w:t>
      </w:r>
      <w:r>
        <w:rPr>
          <w:rFonts w:ascii="Aptos" w:hAnsi="Aptos"/>
        </w:rPr>
        <w:t>Quelle partie de Coda Ater I considérez-vous comme la plus intéressante malgré ses erreurs : la recherche d’un paramètre d’ordre, la coexistence, la dynamique collective, autre chose ?</w:t>
      </w:r>
    </w:p>
    <w:p>
      <w:pPr>
        <w:widowControl/>
        <w:spacing w:after="80"/>
        <w:ind w:left="113" w:hanging="113"/>
      </w:pPr>
      <w:r>
        <w:rPr>
          <w:rFonts w:ascii="Aptos" w:hAnsi="Aptos"/>
          <w:b/>
        </w:rPr>
        <w:t xml:space="preserve">2. </w:t>
      </w:r>
      <w:r>
        <w:rPr>
          <w:rFonts w:ascii="Aptos" w:hAnsi="Aptos"/>
        </w:rPr>
        <w:t>Quelle définition de « mode collectif » utiliseriez-vous pour l’eau dense afin d’éviter l’importation abusive du langage du gaz de Bose dilué ?</w:t>
      </w:r>
    </w:p>
    <w:p>
      <w:pPr>
        <w:widowControl/>
        <w:spacing w:after="80"/>
        <w:ind w:left="113" w:hanging="113"/>
      </w:pPr>
      <w:r>
        <w:rPr>
          <w:rFonts w:ascii="Aptos" w:hAnsi="Aptos"/>
          <w:b/>
        </w:rPr>
        <w:t xml:space="preserve">3. </w:t>
      </w:r>
      <w:r>
        <w:rPr>
          <w:rFonts w:ascii="Aptos" w:hAnsi="Aptos"/>
        </w:rPr>
        <w:t>L’espace (S,D,ξ,τ,A,F) vous paraît-il physiquement utile ou contient-il des variables redondantes / mal définies ?</w:t>
      </w:r>
    </w:p>
    <w:p>
      <w:pPr>
        <w:widowControl/>
        <w:spacing w:after="80"/>
        <w:ind w:left="113" w:hanging="113"/>
      </w:pPr>
      <w:r>
        <w:rPr>
          <w:rFonts w:ascii="Aptos" w:hAnsi="Aptos"/>
          <w:b/>
        </w:rPr>
        <w:t xml:space="preserve">4. </w:t>
      </w:r>
      <w:r>
        <w:rPr>
          <w:rFonts w:ascii="Aptos" w:hAnsi="Aptos"/>
        </w:rPr>
        <w:t>Quel formalisme vous semblerait le plus adapté : modes instantanés, théorie de champ effective, Mori-Zwanzig, hydrodynamique généralisée, réseaux de liaisons H, autre ?</w:t>
      </w:r>
    </w:p>
    <w:p>
      <w:pPr>
        <w:widowControl/>
        <w:spacing w:after="80"/>
        <w:ind w:left="113" w:hanging="113"/>
      </w:pPr>
      <w:r>
        <w:rPr>
          <w:rFonts w:ascii="Aptos" w:hAnsi="Aptos"/>
          <w:b/>
        </w:rPr>
        <w:t xml:space="preserve">5. </w:t>
      </w:r>
      <w:r>
        <w:rPr>
          <w:rFonts w:ascii="Aptos" w:hAnsi="Aptos"/>
        </w:rPr>
        <w:t>Quel observable expérimental pourrait le plus rapidement distinguer H0 de H1 ?</w:t>
      </w:r>
    </w:p>
    <w:p>
      <w:pPr>
        <w:widowControl/>
        <w:spacing w:after="80"/>
        <w:ind w:left="113" w:hanging="113"/>
      </w:pPr>
      <w:r>
        <w:rPr>
          <w:rFonts w:ascii="Aptos" w:hAnsi="Aptos"/>
          <w:b/>
        </w:rPr>
        <w:t xml:space="preserve">6. </w:t>
      </w:r>
      <w:r>
        <w:rPr>
          <w:rFonts w:ascii="Aptos" w:hAnsi="Aptos"/>
        </w:rPr>
        <w:t>L’isotopie H₂O/D₂O vous paraît-elle un axe suffisamment discriminant pour H2, et quels contrôles seraient indispensables ?</w:t>
      </w:r>
    </w:p>
    <w:p>
      <w:pPr>
        <w:widowControl/>
        <w:spacing w:after="80"/>
        <w:ind w:left="113" w:hanging="113"/>
      </w:pPr>
      <w:r>
        <w:rPr>
          <w:rFonts w:ascii="Aptos" w:hAnsi="Aptos"/>
          <w:b/>
        </w:rPr>
        <w:t xml:space="preserve">7. </w:t>
      </w:r>
      <w:r>
        <w:rPr>
          <w:rFonts w:ascii="Aptos" w:hAnsi="Aptos"/>
        </w:rPr>
        <w:t>Qu’est-ce qui, pour vous, constituerait une preuve acceptable de cohérence quantique collective H3 ?</w:t>
      </w:r>
    </w:p>
    <w:p>
      <w:pPr>
        <w:widowControl/>
        <w:spacing w:after="80"/>
        <w:ind w:left="113" w:hanging="113"/>
      </w:pPr>
      <w:r>
        <w:rPr>
          <w:rFonts w:ascii="Aptos" w:hAnsi="Aptos"/>
          <w:b/>
        </w:rPr>
        <w:t xml:space="preserve">8. </w:t>
      </w:r>
      <w:r>
        <w:rPr>
          <w:rFonts w:ascii="Aptos" w:hAnsi="Aptos"/>
        </w:rPr>
        <w:t>Quelles conditions minimales exigerez-vous avant d’employer le mot « phase » plutôt que crossover ou régime dynamique ?</w:t>
      </w:r>
    </w:p>
    <w:p>
      <w:pPr>
        <w:widowControl/>
        <w:spacing w:after="80"/>
        <w:ind w:left="113" w:hanging="113"/>
      </w:pPr>
      <w:r>
        <w:rPr>
          <w:rFonts w:ascii="Aptos" w:hAnsi="Aptos"/>
          <w:b/>
        </w:rPr>
        <w:t xml:space="preserve">9. </w:t>
      </w:r>
      <w:r>
        <w:rPr>
          <w:rFonts w:ascii="Aptos" w:hAnsi="Aptos"/>
        </w:rPr>
        <w:t>Voyez-vous une erreur dimensionnelle ou thermodynamique dans le modèle effectif proposé ici ?</w:t>
      </w:r>
    </w:p>
    <w:p>
      <w:pPr>
        <w:widowControl/>
        <w:spacing w:after="80"/>
        <w:ind w:left="113" w:hanging="113"/>
      </w:pPr>
      <w:r>
        <w:rPr>
          <w:rFonts w:ascii="Aptos" w:hAnsi="Aptos"/>
          <w:b/>
        </w:rPr>
        <w:t xml:space="preserve">10. </w:t>
      </w:r>
      <w:r>
        <w:rPr>
          <w:rFonts w:ascii="Aptos" w:hAnsi="Aptos"/>
        </w:rPr>
        <w:t>Quel calcul simple réaliseriez-vous d’abord pour tenter de falsifier Coda Ater II ?</w:t>
      </w:r>
    </w:p>
    <w:p>
      <w:pPr>
        <w:pStyle w:val="Heading1"/>
      </w:pPr>
      <w:r>
        <w:t>14. Conclusion — un programme à éprouver</w:t>
      </w:r>
    </w:p>
    <w:p>
      <w:r>
        <w:t>Coda Ater v2.0 ne conclut ni à l’existence ni à l’absence d’un régime collectif nouveau dans l’eau. Il remplace une hypothèse posée trop tôt par une séquence de preuves : reproduire l’eau connue, identifier des variables collectives robustes, tester leur portée, leur persistance et leur éventuelle rétroaction, puis seulement demander si un changement de régime, une nouvelle branche thermodynamique ou une signature quantique irréductible devient nécessaire.</w:t>
      </w:r>
    </w:p>
    <w:p>
      <w:r>
        <w:t>Le résultat attendu de la discussion avec Luca et Jean-François n’est donc pas une validation de ZEON ni une défense de Coda Ater I. C’est une réduction du champ des hypothèses : identifier le calcul ou l’expérience qui peut faire tomber le modèle le plus vite, préciser les variables qui méritent d’être conservées, et déterminer si la question initiale ouvre réellement un programme physique nouveau.</w:t>
      </w:r>
    </w:p>
    <w:p>
      <w:pPr>
        <w:pStyle w:val="Heading1"/>
        <w:pageBreakBefore/>
        <w:widowControl/>
      </w:pPr>
      <w:r>
        <w:rPr>
          <w:rFonts w:ascii="Aptos" w:hAnsi="Aptos"/>
          <w:b/>
        </w:rPr>
        <w:t>Références</w:t>
      </w:r>
    </w:p>
    <w:p>
      <w:pPr>
        <w:widowControl/>
        <w:spacing w:after="100"/>
      </w:pPr>
      <w:r>
        <w:rPr>
          <w:rFonts w:ascii="Aptos" w:hAnsi="Aptos"/>
          <w:sz w:val="18"/>
        </w:rPr>
        <w:t>[1] International Association for the Properties of Water and Steam (IAPWS). Revised Release on the IAPWS Formulation 1995 for the Thermodynamic Properties of Ordinary Water Substance for General and Scientific Use, R6-95(2018). https://www.iapws.org/relguide/IAPWS-95.html</w:t>
      </w:r>
    </w:p>
    <w:p>
      <w:pPr>
        <w:widowControl/>
        <w:spacing w:after="100"/>
      </w:pPr>
      <w:r>
        <w:rPr>
          <w:rFonts w:ascii="Aptos" w:hAnsi="Aptos"/>
          <w:sz w:val="18"/>
        </w:rPr>
        <w:t>[2] M. Ceriotti, W. Fang, P. G. Kusalik, R. H. McKenzie, A. Michaelides, M. A. Morales, T. E. Markland. “Nuclear Quantum Effects in Water and Aqueous Systems: Experiment, Theory, and Current Challenges.” Chemical Reviews 116 (2016), 7529–7550. DOI: 10.1021/acs.chemrev.5b00674.</w:t>
      </w:r>
    </w:p>
    <w:p>
      <w:pPr>
        <w:widowControl/>
        <w:spacing w:after="100"/>
      </w:pPr>
      <w:r>
        <w:rPr>
          <w:rFonts w:ascii="Aptos" w:hAnsi="Aptos"/>
          <w:sz w:val="18"/>
        </w:rPr>
        <w:t>[3] “Nuclear Quantum Effects in Liquid Water Are Marginal for Its Average Structure but Significant for Dynamics.” Journal of Physical Chemistry Letters 15 (2024), 12144–12150. DOI: 10.1021/acs.jpclett.4c02925.</w:t>
      </w:r>
    </w:p>
    <w:p>
      <w:pPr>
        <w:widowControl/>
        <w:spacing w:after="100"/>
      </w:pPr>
      <w:r>
        <w:rPr>
          <w:rFonts w:ascii="Aptos" w:hAnsi="Aptos"/>
          <w:sz w:val="18"/>
        </w:rPr>
        <w:t>[4] P. Schienbein, D. Marx. “Theoretical Terahertz Spectroscopy of Aqueous Solutions: From Electronic Structure to Molecular Understanding.” Chemical Reviews 126 (2026), 7465–7570. DOI: 10.1021/acs.chemrev.5c00959.</w:t>
      </w:r>
    </w:p>
    <w:p>
      <w:pPr>
        <w:widowControl/>
        <w:spacing w:after="100"/>
      </w:pPr>
      <w:r>
        <w:rPr>
          <w:rFonts w:ascii="Aptos" w:hAnsi="Aptos"/>
          <w:sz w:val="18"/>
        </w:rPr>
        <w:t>[5] J. O. Andersen. “Theory of the Weakly Interacting Bose Gas.” Reviews of Modern Physics 76 (2004), 599–639. DOI: 10.1103/RevModPhys.76.599.</w:t>
      </w:r>
    </w:p>
    <w:p>
      <w:pPr>
        <w:widowControl/>
        <w:spacing w:after="100"/>
      </w:pPr>
      <w:r>
        <w:rPr>
          <w:rFonts w:ascii="Aptos" w:hAnsi="Aptos"/>
          <w:sz w:val="18"/>
        </w:rPr>
        <w:t>[6] Source primaire interne : CODA ATER — Zeon technology, June 2025, document fourni par Michel Vandenberghe (13 pages). Le présent document en reprend explicitement les hypothèses initiales, les équations proposées et les points de critique.</w:t>
      </w:r>
    </w:p>
    <w:p>
      <w:pPr>
        <w:pStyle w:val="Heading2"/>
        <w:widowControl/>
      </w:pPr>
      <w:r>
        <w:rPr>
          <w:rFonts w:ascii="Aptos" w:hAnsi="Aptos"/>
          <w:b/>
        </w:rPr>
        <w:t>Note de provenance</w:t>
      </w:r>
    </w:p>
    <w:p>
      <w:pPr>
        <w:widowControl/>
        <w:spacing w:after="120"/>
      </w:pPr>
      <w:r>
        <w:t>Le corps principal relève de la reconstruction 2026 et de références scientifiques explicites. Coda Ater I est conservé intégralement en Annexe C comme trace historique primaire, sans réécriture rétrospective. La Transduction ZEON reste isolée en Annexe B et ne fait pas partie de la démonstration physique.</w:t>
      </w:r>
    </w:p>
    <w:tbl>
      <w:tblPr>
        <w:tblW w:type="auto" w:w="0"/>
        <w:jc w:val="center"/>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r>
              <w:t>Version 2.0 — destinée à la discussion scientifique. Ce texte est volontairement construit pour être critiqué. Sa réussite ne se mesure pas au fait de confirmer une « eau cohérente », mais à sa capacité à produire des tests qui discriminent rapidement entre eau conventionnelle, dynamique collective classique, effets quantiques nucléaires et hypothèses plus fortes.</w:t>
            </w:r>
          </w:p>
        </w:tc>
      </w:tr>
    </w:tbl>
    <w:p>
      <w:pPr>
        <w:widowControl/>
        <w:spacing w:after="0"/>
      </w:pPr>
    </w:p>
    <w:p>
      <w:r/>
    </w:p>
    <w:p>
      <w:pPr>
        <w:pStyle w:val="Heading1"/>
        <w:pageBreakBefore/>
        <w:widowControl/>
      </w:pPr>
      <w:r>
        <w:rPr>
          <w:rFonts w:ascii="Aptos" w:hAnsi="Aptos"/>
          <w:b/>
        </w:rPr>
        <w:t>Annexe A. Dérivations et indicateurs</w:t>
      </w:r>
    </w:p>
    <w:p>
      <w:pPr>
        <w:pStyle w:val="Heading2"/>
        <w:widowControl/>
      </w:pPr>
      <w:r>
        <w:rPr>
          <w:rFonts w:ascii="Aptos" w:hAnsi="Aptos"/>
          <w:b/>
        </w:rPr>
        <w:t>A.1. Longueur thermique de de Broglie — ordre de grandeur</w:t>
      </w:r>
    </w:p>
    <w:p>
      <w:pPr>
        <w:widowControl/>
        <w:spacing w:after="120"/>
      </w:pPr>
      <w:r>
        <w:rPr>
          <w:rFonts w:ascii="Aptos" w:hAnsi="Aptos"/>
          <w:i w:val="0"/>
        </w:rPr>
        <w:t>Pour une particule non relativiste de masse m à température T :</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λ_th = h / √(2π m k_B T)</w:t>
            </w:r>
          </w:p>
        </w:tc>
      </w:tr>
    </w:tbl>
    <w:p>
      <w:pPr>
        <w:widowControl/>
        <w:spacing w:after="0"/>
      </w:pPr>
    </w:p>
    <w:p>
      <w:pPr>
        <w:widowControl/>
        <w:spacing w:after="120"/>
      </w:pPr>
      <w:r>
        <w:rPr>
          <w:rFonts w:ascii="Aptos" w:hAnsi="Aptos"/>
          <w:i w:val="0"/>
        </w:rPr>
        <w:t>Avec m(H₂O)=18,01528 u et T=298,15 K : λ_th≈0,238 Å. À ρ≈1 g·cm⁻³, la densité moléculaire donne une séparation cubique moyenne d≈3,10 Å et nλ_th³≈4,5×10⁻⁴. Ce calcul ne traite pas des protons individuels, des vibrations ni des effets quantiques nucléaires ; il montre seulement que la translation des molécules H₂O entières n’est pas proche de la dégénérescence Bose.</w:t>
      </w:r>
    </w:p>
    <w:p>
      <w:pPr>
        <w:pStyle w:val="Heading2"/>
        <w:widowControl/>
      </w:pPr>
      <w:r>
        <w:rPr>
          <w:rFonts w:ascii="Aptos" w:hAnsi="Aptos"/>
          <w:b/>
        </w:rPr>
        <w:t>A.2. Participation et délocalisation</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N_eff = (Σ_i |u_i|²)² / Σ_i |u_i|⁴      ;      D=N_eff/N</w:t>
            </w:r>
          </w:p>
        </w:tc>
      </w:tr>
    </w:tbl>
    <w:p>
      <w:pPr>
        <w:widowControl/>
        <w:spacing w:after="0"/>
      </w:pPr>
    </w:p>
    <w:p>
      <w:pPr>
        <w:widowControl/>
        <w:spacing w:after="120"/>
      </w:pPr>
      <w:r>
        <w:rPr>
          <w:rFonts w:ascii="Aptos" w:hAnsi="Aptos"/>
          <w:i w:val="0"/>
        </w:rPr>
        <w:t>L’indicateur doit être testé contre la taille du système, le choix de base et la définition des modes. Un apparent accroissement de D peut être un artefact de représentation.</w:t>
      </w:r>
    </w:p>
    <w:p>
      <w:pPr>
        <w:pStyle w:val="Heading2"/>
        <w:widowControl/>
      </w:pPr>
      <w:r>
        <w:rPr>
          <w:rFonts w:ascii="Aptos" w:hAnsi="Aptos"/>
          <w:b/>
        </w:rPr>
        <w:t>A.3. Susceptibilité de délocalisation</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χ_D = N (⟨D²⟩ − ⟨D⟩²)</w:t>
            </w:r>
          </w:p>
        </w:tc>
      </w:tr>
    </w:tbl>
    <w:p>
      <w:pPr>
        <w:widowControl/>
        <w:spacing w:after="0"/>
      </w:pPr>
    </w:p>
    <w:p>
      <w:pPr>
        <w:widowControl/>
        <w:spacing w:after="120"/>
      </w:pPr>
      <w:r>
        <w:rPr>
          <w:rFonts w:ascii="Aptos" w:hAnsi="Aptos"/>
          <w:i w:val="0"/>
        </w:rPr>
        <w:t>Un maximum de χ_D peut signaler une région de fortes fluctuations, mais ne démontre pas à lui seul une transition thermodynamique.</w:t>
      </w:r>
    </w:p>
    <w:p>
      <w:pPr>
        <w:pStyle w:val="Heading2"/>
        <w:widowControl/>
      </w:pPr>
      <w:r>
        <w:rPr>
          <w:rFonts w:ascii="Aptos" w:hAnsi="Aptos"/>
          <w:b/>
        </w:rPr>
        <w:t>A.4. Corrélations croisées et fermeture</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C_SD(t)=⟨δS(0)δD(t)⟩      ;      C_DS(t)=⟨δD(0)δS(t)⟩</w:t>
            </w:r>
          </w:p>
        </w:tc>
      </w:tr>
    </w:tbl>
    <w:p>
      <w:pPr>
        <w:widowControl/>
        <w:spacing w:after="0"/>
      </w:pPr>
    </w:p>
    <w:p>
      <w:pPr>
        <w:widowControl/>
        <w:spacing w:after="120"/>
      </w:pPr>
      <w:r>
        <w:rPr>
          <w:rFonts w:ascii="Aptos" w:hAnsi="Aptos"/>
          <w:i w:val="0"/>
        </w:rPr>
        <w:t>Pour parler de rétroaction effective, il faut dépasser ces corrélations et comparer des modèles prédictifs conditionnels / mesures d’information dirigée, avec contrôles de variables communes et tests de robustesse.</w:t>
      </w:r>
    </w:p>
    <w:p>
      <w:pPr>
        <w:pStyle w:val="Heading2"/>
        <w:widowControl/>
      </w:pPr>
      <w:r>
        <w:rPr>
          <w:rFonts w:ascii="Aptos" w:hAnsi="Aptos"/>
          <w:b/>
        </w:rPr>
        <w:t>A.5. Jacobien et seuil dynamique</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J = [[∂F/∂S, ∂F/∂D],[∂G/∂S, ∂G/∂D]]_*</w:t>
            </w:r>
          </w:p>
        </w:tc>
      </w:tr>
    </w:tbl>
    <w:p>
      <w:pPr>
        <w:widowControl/>
        <w:spacing w:after="0"/>
      </w:pP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seuil local candidat :  max Re(λ_i(J)) = 0</w:t>
            </w:r>
          </w:p>
        </w:tc>
      </w:tr>
    </w:tbl>
    <w:p>
      <w:pPr>
        <w:widowControl/>
        <w:spacing w:after="0"/>
      </w:pPr>
    </w:p>
    <w:p>
      <w:pPr>
        <w:widowControl/>
        <w:spacing w:after="120"/>
      </w:pPr>
      <w:r>
        <w:rPr>
          <w:rFonts w:ascii="Aptos" w:hAnsi="Aptos"/>
          <w:i w:val="0"/>
        </w:rPr>
        <w:t>Le franchissement d’une valeur propre signale un changement de stabilité de l’état linéarisé. La nature de la bifurcation et l’existence d’un nouvel attracteur doivent ensuite être établies.</w:t>
      </w:r>
    </w:p>
    <w:p>
      <w:pPr>
        <w:pStyle w:val="Heading1"/>
        <w:pageBreakBefore/>
        <w:widowControl/>
      </w:pPr>
      <w:r>
        <w:rPr>
          <w:rFonts w:ascii="Aptos" w:hAnsi="Aptos"/>
          <w:b/>
        </w:rPr>
        <w:t>Annexe B. Transduction ZEON — séparée du modèle physique</w:t>
      </w:r>
    </w:p>
    <w:tbl>
      <w:tblPr>
        <w:tblW w:type="auto" w:w="0"/>
        <w:jc w:val="center"/>
        <w:tblLook w:firstColumn="1" w:firstRow="1" w:lastColumn="0" w:lastRow="0" w:noHBand="0" w:noVBand="1" w:val="04A0"/>
      </w:tblPr>
      <w:tblGrid>
        <w:gridCol w:w="1928"/>
        <w:gridCol w:w="7087"/>
      </w:tblGrid>
      <w:tr>
        <w:trPr>
          <w:cantSplit/>
        </w:trPr>
        <w:tc>
          <w:tcPr>
            <w:tcW w:type="dxa" w:w="4788"/>
            <w:shd w:fill="ECE7F3"/>
            <w:tcMar>
              <w:top w:w="120" w:type="dxa"/>
              <w:start w:w="140" w:type="dxa"/>
              <w:bottom w:w="120" w:type="dxa"/>
              <w:end w:w="140" w:type="dxa"/>
            </w:tcMar>
            <w:vAlign w:val="center"/>
          </w:tcPr>
          <w:p>
            <w:r>
              <w:rPr>
                <w:rFonts w:ascii="Aptos" w:hAnsi="Aptos"/>
                <w:b/>
                <w:color w:val="6D5680"/>
                <w:sz w:val="17"/>
              </w:rPr>
              <w:t>Z · TRANSDUCTION ZEON</w:t>
            </w:r>
          </w:p>
        </w:tc>
        <w:tc>
          <w:tcPr>
            <w:tcW w:type="dxa" w:w="4788"/>
            <w:shd w:fill="FFFFFF"/>
            <w:tcMar>
              <w:top w:w="120" w:type="dxa"/>
              <w:start w:w="140" w:type="dxa"/>
              <w:bottom w:w="120" w:type="dxa"/>
              <w:end w:w="140" w:type="dxa"/>
            </w:tcMar>
            <w:vAlign w:val="center"/>
          </w:tcPr>
          <w:p>
            <w:r>
              <w:rPr>
                <w:rFonts w:ascii="Aptos" w:hAnsi="Aptos"/>
                <w:sz w:val="18"/>
              </w:rPr>
              <w:t>Cette annexe n’est pas une partie de la démonstration physique. Elle documente la morphologie qui a aidé à générer certaines questions de Coda Ater II.</w:t>
            </w:r>
          </w:p>
        </w:tc>
      </w:tr>
    </w:tbl>
    <w:p>
      <w:pPr>
        <w:widowControl/>
        <w:spacing w:after="0"/>
      </w:pPr>
    </w:p>
    <w:p>
      <w:pPr>
        <w:widowControl/>
        <w:spacing w:after="120"/>
      </w:pPr>
      <w:r>
        <w:rPr>
          <w:rFonts w:ascii="Aptos" w:hAnsi="Aptos"/>
          <w:i w:val="0"/>
        </w:rPr>
        <w:t>La transduction ZEON a progressivement distingué : potentialité, structure, modes localisés/délocalisés, persistance, corrélation, retour et réouverture du possible. Le point méthodologique important est que ces notions ne sont pas identifiées aux quatre interactions fondamentales, à un champ physique ou à une « cinquième force ».</w:t>
      </w: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0^0  —transduction→  invariant de réouverture du possible</w:t>
            </w:r>
          </w:p>
          <w:p>
            <w:pPr>
              <w:jc w:val="center"/>
            </w:pPr>
            <w:r>
              <w:rPr>
                <w:rFonts w:ascii="Aptos" w:hAnsi="Aptos"/>
                <w:i/>
                <w:color w:val="667074"/>
                <w:sz w:val="17"/>
              </w:rPr>
              <w:t>Pas une identité physique ; pas une énergie, une particule ou un champ.</w:t>
            </w:r>
          </w:p>
        </w:tc>
      </w:tr>
    </w:tbl>
    <w:p>
      <w:pPr>
        <w:widowControl/>
        <w:spacing w:after="0"/>
      </w:pPr>
    </w:p>
    <w:tbl>
      <w:tblPr>
        <w:tblW w:type="auto" w:w="0"/>
        <w:jc w:val="center"/>
        <w:tblLayout w:type="autofit"/>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pPr>
              <w:jc w:val="center"/>
            </w:pPr>
            <w:r>
              <w:rPr>
                <w:rFonts w:ascii="Cambria Math" w:hAnsi="Cambria Math"/>
                <w:b/>
                <w:color w:val="20282A"/>
                <w:sz w:val="23"/>
              </w:rPr>
              <w:t>P_n → interactions → structure → modes → retour → P_(n+1)</w:t>
            </w:r>
          </w:p>
        </w:tc>
      </w:tr>
    </w:tbl>
    <w:p>
      <w:pPr>
        <w:widowControl/>
        <w:spacing w:after="0"/>
      </w:pPr>
    </w:p>
    <w:p>
      <w:pPr>
        <w:widowControl/>
        <w:spacing w:after="120"/>
      </w:pPr>
      <w:r>
        <w:rPr>
          <w:rFonts w:ascii="Aptos" w:hAnsi="Aptos"/>
          <w:i w:val="0"/>
        </w:rPr>
        <w:t>Dans cette lecture, un seuil génératif correspond au moment où une grandeur dérivée devient une variable dynamique pertinente à une nouvelle échelle et modifie l’espace des possibles du système. Coda Ater sert alors de laboratoire : si cette morphologie n’apporte aucun pouvoir de distinction ou de prédiction, elle doit être abandonnée dans ce domaine.</w:t>
      </w:r>
    </w:p>
    <w:tbl>
      <w:tblPr>
        <w:tblW w:type="auto" w:w="0"/>
        <w:jc w:val="center"/>
        <w:tblLook w:firstColumn="1" w:firstRow="1" w:lastColumn="0" w:lastRow="0" w:noHBand="0" w:noVBand="1" w:val="04A0"/>
      </w:tblPr>
      <w:tblGrid>
        <w:gridCol w:w="9576"/>
      </w:tblGrid>
      <w:tr>
        <w:trPr>
          <w:cantSplit/>
        </w:trPr>
        <w:tc>
          <w:tcPr>
            <w:tcW w:type="dxa" w:w="9576"/>
            <w:shd w:fill="EEF2EF"/>
            <w:tcMar>
              <w:top w:w="180" w:type="dxa"/>
              <w:start w:w="220" w:type="dxa"/>
              <w:bottom w:w="180" w:type="dxa"/>
              <w:end w:w="220" w:type="dxa"/>
            </w:tcMar>
          </w:tcPr>
          <w:p>
            <w:r>
              <w:rPr>
                <w:rFonts w:ascii="Aptos" w:hAnsi="Aptos"/>
                <w:b/>
                <w:color w:val="506A62"/>
              </w:rPr>
              <w:t xml:space="preserve">Sceau de méthode. </w:t>
            </w:r>
            <w:r>
              <w:rPr>
                <w:rFonts w:ascii="Aptos" w:hAnsi="Aptos"/>
              </w:rPr>
              <w:t>Tout changement ne fait pas passage. Il y a passage lorsque ce qui émerge change l’espace du possible — et seulement si cette lecture résiste aux hypothèses rivales.</w:t>
            </w:r>
          </w:p>
        </w:tc>
      </w:tr>
    </w:tbl>
    <w:p>
      <w:pPr>
        <w:widowControl/>
        <w:spacing w:after="0"/>
      </w:pPr>
    </w:p>
    <w:p>
      <w:pPr>
        <w:pStyle w:val="Heading1"/>
        <w:pageBreakBefore/>
      </w:pPr>
      <w:r>
        <w:t>Annexe C. Coda Ater I (juin 2025) — fac-similé intégral</w:t>
      </w:r>
    </w:p>
    <w:p>
      <w:pPr>
        <w:pStyle w:val="Heading2"/>
      </w:pPr>
      <w:r>
        <w:t>Note critique avant lecture</w:t>
      </w:r>
    </w:p>
    <w:p>
      <w:pPr>
        <w:spacing w:after="200"/>
      </w:pPr>
      <w:r>
        <w:t>Nous conservons ci-après Coda Ater I tel qu’il a été formulé en juin 2025, précisément pour ne pas réécrire l’histoire après coup. Nos erreurs principales sont désormais identifiées : nous avons importé trop rapidement le formalisme de Bogoliubov et l’idée d’un condensat bosonique vers l’eau liquide ambiante ; nous avons introduit une fraction phénoménologique α(T) et une moyenne de pressions sans les dériver d’une énergie libre commune ; nous avons utilisé l’identité incorrecte (∂P/∂T)_V = S/V, ce qui contamine les dérivations ultérieures d’entropie, d’énergie et de capacité thermique et rend non fondée l’interprétation de capacités thermiques négatives ; nous avons aussi glissé d’un modèle hypothétique vers des affirmations sur l’eau biologique, l’information ou la mémoire de l’eau que le calcul ne démontrait pas, et nous avons conclu trop vite que la question de Luca était « résolue en théorie ». Ce que nous conservons de Coda Ater I est néanmoins important : repartir du microscopique, prendre au sérieux les fluctuations et modes collectifs, utiliser libre énergie et potentiel chimique pour la stabilité/coexistence, et traiter métastabilité et changements de régime comme des objets physiques à tester. Coda Ater II naît de cette correction, non de l’effacement de la première tentative.</w:t>
      </w:r>
    </w:p>
    <w:tbl>
      <w:tblPr>
        <w:tblW w:type="auto" w:w="0"/>
        <w:tblLook w:firstColumn="1" w:firstRow="1" w:lastColumn="0" w:lastRow="0" w:noHBand="0" w:noVBand="1" w:val="04A0"/>
      </w:tblPr>
      <w:tblGrid>
        <w:gridCol w:w="9576"/>
      </w:tblGrid>
      <w:tr>
        <w:trPr>
          <w:cantSplit/>
        </w:trPr>
        <w:tc>
          <w:tcPr>
            <w:tcW w:type="dxa" w:w="9576"/>
          </w:tcPr>
          <w:p>
            <w:r>
              <w:t>STATUT DE L’ANNEXE — Trace historique primaire. Les pages suivantes sont reproduites en fac-similé et ne constituent pas le modèle scientifique défendu dans le corps du document.</w:t>
            </w:r>
          </w:p>
        </w:tc>
      </w:tr>
    </w:tbl>
    <w:p>
      <w:r>
        <w:br w:type="page"/>
      </w:r>
    </w:p>
    <w:p>
      <w:pPr>
        <w:jc w:val="center"/>
      </w:pPr>
      <w:r>
        <w:drawing>
          <wp:inline xmlns:a="http://schemas.openxmlformats.org/drawingml/2006/main" xmlns:pic="http://schemas.openxmlformats.org/drawingml/2006/picture">
            <wp:extent cx="5715000" cy="739588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715000" cy="7395882"/>
                    </a:xfrm>
                    <a:prstGeom prst="rect"/>
                  </pic:spPr>
                </pic:pic>
              </a:graphicData>
            </a:graphic>
          </wp:inline>
        </w:drawing>
      </w:r>
    </w:p>
    <w:p>
      <w:r>
        <w:br w:type="page"/>
      </w:r>
    </w:p>
    <w:p>
      <w:pPr>
        <w:jc w:val="center"/>
      </w:pPr>
      <w:r>
        <w:drawing>
          <wp:inline xmlns:a="http://schemas.openxmlformats.org/drawingml/2006/main" xmlns:pic="http://schemas.openxmlformats.org/drawingml/2006/picture">
            <wp:extent cx="5715000" cy="7395882"/>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715000" cy="7395882"/>
                    </a:xfrm>
                    <a:prstGeom prst="rect"/>
                  </pic:spPr>
                </pic:pic>
              </a:graphicData>
            </a:graphic>
          </wp:inline>
        </w:drawing>
      </w:r>
    </w:p>
    <w:p>
      <w:r>
        <w:br w:type="page"/>
      </w:r>
    </w:p>
    <w:p>
      <w:pPr>
        <w:jc w:val="center"/>
      </w:pPr>
      <w:r>
        <w:drawing>
          <wp:inline xmlns:a="http://schemas.openxmlformats.org/drawingml/2006/main" xmlns:pic="http://schemas.openxmlformats.org/drawingml/2006/picture">
            <wp:extent cx="5715000" cy="7395882"/>
            <wp:docPr id="3" name="Picture 3"/>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715000" cy="7395882"/>
                    </a:xfrm>
                    <a:prstGeom prst="rect"/>
                  </pic:spPr>
                </pic:pic>
              </a:graphicData>
            </a:graphic>
          </wp:inline>
        </w:drawing>
      </w:r>
    </w:p>
    <w:p>
      <w:r>
        <w:br w:type="page"/>
      </w:r>
    </w:p>
    <w:p>
      <w:pPr>
        <w:jc w:val="center"/>
      </w:pPr>
      <w:r>
        <w:drawing>
          <wp:inline xmlns:a="http://schemas.openxmlformats.org/drawingml/2006/main" xmlns:pic="http://schemas.openxmlformats.org/drawingml/2006/picture">
            <wp:extent cx="5715000" cy="7395882"/>
            <wp:docPr id="4" name="Picture 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715000" cy="7395882"/>
                    </a:xfrm>
                    <a:prstGeom prst="rect"/>
                  </pic:spPr>
                </pic:pic>
              </a:graphicData>
            </a:graphic>
          </wp:inline>
        </w:drawing>
      </w:r>
    </w:p>
    <w:p>
      <w:r>
        <w:br w:type="page"/>
      </w:r>
    </w:p>
    <w:p>
      <w:pPr>
        <w:jc w:val="center"/>
      </w:pPr>
      <w:r>
        <w:drawing>
          <wp:inline xmlns:a="http://schemas.openxmlformats.org/drawingml/2006/main" xmlns:pic="http://schemas.openxmlformats.org/drawingml/2006/picture">
            <wp:extent cx="5715000" cy="7395882"/>
            <wp:docPr id="5" name="Picture 5"/>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715000" cy="7395882"/>
                    </a:xfrm>
                    <a:prstGeom prst="rect"/>
                  </pic:spPr>
                </pic:pic>
              </a:graphicData>
            </a:graphic>
          </wp:inline>
        </w:drawing>
      </w:r>
    </w:p>
    <w:p>
      <w:r>
        <w:br w:type="page"/>
      </w:r>
    </w:p>
    <w:p>
      <w:pPr>
        <w:jc w:val="center"/>
      </w:pPr>
      <w:r>
        <w:drawing>
          <wp:inline xmlns:a="http://schemas.openxmlformats.org/drawingml/2006/main" xmlns:pic="http://schemas.openxmlformats.org/drawingml/2006/picture">
            <wp:extent cx="5715000" cy="7395882"/>
            <wp:docPr id="6" name="Picture 6"/>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715000" cy="7395882"/>
                    </a:xfrm>
                    <a:prstGeom prst="rect"/>
                  </pic:spPr>
                </pic:pic>
              </a:graphicData>
            </a:graphic>
          </wp:inline>
        </w:drawing>
      </w:r>
    </w:p>
    <w:p>
      <w:r>
        <w:br w:type="page"/>
      </w:r>
    </w:p>
    <w:p>
      <w:pPr>
        <w:jc w:val="center"/>
      </w:pPr>
      <w:r>
        <w:drawing>
          <wp:inline xmlns:a="http://schemas.openxmlformats.org/drawingml/2006/main" xmlns:pic="http://schemas.openxmlformats.org/drawingml/2006/picture">
            <wp:extent cx="5715000" cy="7395882"/>
            <wp:docPr id="7" name="Picture 7"/>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715000" cy="7395882"/>
                    </a:xfrm>
                    <a:prstGeom prst="rect"/>
                  </pic:spPr>
                </pic:pic>
              </a:graphicData>
            </a:graphic>
          </wp:inline>
        </w:drawing>
      </w:r>
    </w:p>
    <w:p>
      <w:r>
        <w:br w:type="page"/>
      </w:r>
    </w:p>
    <w:p>
      <w:pPr>
        <w:jc w:val="center"/>
      </w:pPr>
      <w:r>
        <w:drawing>
          <wp:inline xmlns:a="http://schemas.openxmlformats.org/drawingml/2006/main" xmlns:pic="http://schemas.openxmlformats.org/drawingml/2006/picture">
            <wp:extent cx="5715000" cy="7395882"/>
            <wp:docPr id="8" name="Picture 8"/>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715000" cy="7395882"/>
                    </a:xfrm>
                    <a:prstGeom prst="rect"/>
                  </pic:spPr>
                </pic:pic>
              </a:graphicData>
            </a:graphic>
          </wp:inline>
        </w:drawing>
      </w:r>
    </w:p>
    <w:p>
      <w:r>
        <w:br w:type="page"/>
      </w:r>
    </w:p>
    <w:p>
      <w:pPr>
        <w:jc w:val="center"/>
      </w:pPr>
      <w:r>
        <w:drawing>
          <wp:inline xmlns:a="http://schemas.openxmlformats.org/drawingml/2006/main" xmlns:pic="http://schemas.openxmlformats.org/drawingml/2006/picture">
            <wp:extent cx="5715000" cy="7395882"/>
            <wp:docPr id="9" name="Picture 9"/>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715000" cy="7395882"/>
                    </a:xfrm>
                    <a:prstGeom prst="rect"/>
                  </pic:spPr>
                </pic:pic>
              </a:graphicData>
            </a:graphic>
          </wp:inline>
        </w:drawing>
      </w:r>
    </w:p>
    <w:p>
      <w:r>
        <w:br w:type="page"/>
      </w:r>
    </w:p>
    <w:p>
      <w:pPr>
        <w:jc w:val="center"/>
      </w:pPr>
      <w:r>
        <w:drawing>
          <wp:inline xmlns:a="http://schemas.openxmlformats.org/drawingml/2006/main" xmlns:pic="http://schemas.openxmlformats.org/drawingml/2006/picture">
            <wp:extent cx="5715000" cy="7395882"/>
            <wp:docPr id="10" name="Picture 10"/>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715000" cy="7395882"/>
                    </a:xfrm>
                    <a:prstGeom prst="rect"/>
                  </pic:spPr>
                </pic:pic>
              </a:graphicData>
            </a:graphic>
          </wp:inline>
        </w:drawing>
      </w:r>
    </w:p>
    <w:p>
      <w:r>
        <w:br w:type="page"/>
      </w:r>
    </w:p>
    <w:p>
      <w:pPr>
        <w:jc w:val="center"/>
      </w:pPr>
      <w:r>
        <w:drawing>
          <wp:inline xmlns:a="http://schemas.openxmlformats.org/drawingml/2006/main" xmlns:pic="http://schemas.openxmlformats.org/drawingml/2006/picture">
            <wp:extent cx="5715000" cy="7395882"/>
            <wp:docPr id="11" name="Picture 11"/>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715000" cy="7395882"/>
                    </a:xfrm>
                    <a:prstGeom prst="rect"/>
                  </pic:spPr>
                </pic:pic>
              </a:graphicData>
            </a:graphic>
          </wp:inline>
        </w:drawing>
      </w:r>
    </w:p>
    <w:p>
      <w:r>
        <w:br w:type="page"/>
      </w:r>
    </w:p>
    <w:p>
      <w:pPr>
        <w:jc w:val="center"/>
      </w:pPr>
      <w:r>
        <w:drawing>
          <wp:inline xmlns:a="http://schemas.openxmlformats.org/drawingml/2006/main" xmlns:pic="http://schemas.openxmlformats.org/drawingml/2006/picture">
            <wp:extent cx="5715000" cy="7395882"/>
            <wp:docPr id="12" name="Picture 12"/>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715000" cy="7395882"/>
                    </a:xfrm>
                    <a:prstGeom prst="rect"/>
                  </pic:spPr>
                </pic:pic>
              </a:graphicData>
            </a:graphic>
          </wp:inline>
        </w:drawing>
      </w:r>
    </w:p>
    <w:p>
      <w:r>
        <w:br w:type="page"/>
      </w:r>
    </w:p>
    <w:p>
      <w:pPr>
        <w:jc w:val="center"/>
      </w:pPr>
      <w:r>
        <w:drawing>
          <wp:inline xmlns:a="http://schemas.openxmlformats.org/drawingml/2006/main" xmlns:pic="http://schemas.openxmlformats.org/drawingml/2006/picture">
            <wp:extent cx="5715000" cy="7395882"/>
            <wp:docPr id="13" name="Picture 13"/>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715000" cy="7395882"/>
                    </a:xfrm>
                    <a:prstGeom prst="rect"/>
                  </pic:spPr>
                </pic:pic>
              </a:graphicData>
            </a:graphic>
          </wp:inline>
        </w:drawing>
      </w:r>
    </w:p>
    <w:sectPr w:rsidR="00FC693F" w:rsidRPr="0006063C" w:rsidSect="00034616">
      <w:footerReference w:type="default" r:id="rId9"/>
      <w:pgSz w:w="12240" w:h="15840"/>
      <w:pgMar w:top="1247" w:right="1332" w:bottom="1134" w:left="13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8334"/>
      <w:gridCol w:w="850"/>
    </w:tblGrid>
    <w:tr>
      <w:tc>
        <w:tcPr>
          <w:tcW w:type="dxa" w:w="4592"/>
          <w:tcMar>
            <w:top w:w="0" w:type="dxa"/>
            <w:start w:w="0" w:type="dxa"/>
            <w:bottom w:w="0" w:type="dxa"/>
            <w:end w:w="0" w:type="dxa"/>
          </w:tcMar>
          <w:tcBorders>
            <w:top w:val="nil"/>
            <w:left w:val="nil"/>
            <w:bottom w:val="nil"/>
            <w:right w:val="nil"/>
            <w:insideH w:val="nil"/>
            <w:insideV w:val="nil"/>
          </w:tcBorders>
        </w:tcPr>
        <w:p>
          <w:r>
            <w:t>CODA ATER · Version 2.0 · Septembre 2026</w:t>
          </w:r>
        </w:p>
      </w:tc>
      <w:tc>
        <w:tcPr>
          <w:tcW w:type="dxa" w:w="4592"/>
          <w:tcMar>
            <w:top w:w="0" w:type="dxa"/>
            <w:start w:w="0" w:type="dxa"/>
            <w:bottom w:w="0" w:type="dxa"/>
            <w:end w:w="0" w:type="dxa"/>
          </w:tcMar>
          <w:tcBorders>
            <w:top w:val="nil"/>
            <w:left w:val="nil"/>
            <w:bottom w:val="nil"/>
            <w:right w:val="nil"/>
            <w:insideH w:val="nil"/>
            <w:insideV w:val="nil"/>
          </w:tcBorders>
        </w:tcPr>
        <w:p>
          <w:pPr>
            <w:jc w:val="right"/>
          </w:pPr>
          <w:r>
            <w:rPr>
              <w:rFonts w:ascii="Aptos" w:hAnsi="Aptos"/>
              <w:color w:val="667074"/>
              <w:sz w:val="16"/>
            </w:rPr>
            <w:t xml:space="preserve">p. </w:t>
          </w:r>
          <w:r>
            <w:rPr>
              <w:rFonts w:ascii="Aptos" w:hAnsi="Aptos"/>
              <w:color w:val="667074"/>
              <w:sz w:val="16"/>
            </w:rPr>
            <w:fldChar w:fldCharType="begin"/>
            <w:instrText xml:space="preserve"> PAGE </w:instrText>
            <w:fldChar w:fldCharType="end"/>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028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outlineLvl w:val="0"/>
    </w:pPr>
    <w:rPr>
      <w:rFonts w:asciiTheme="majorHAnsi" w:eastAsiaTheme="majorEastAsia" w:hAnsiTheme="majorHAnsi" w:cstheme="majorBidi" w:ascii="Aptos Display" w:hAnsi="Aptos Display"/>
      <w:b/>
      <w:bCs/>
      <w:color w:val="20282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ptos Display" w:hAnsi="Aptos Display"/>
      <w:b/>
      <w:bCs/>
      <w:color w:val="506A62"/>
      <w:sz w:val="30"/>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Aptos Display" w:hAnsi="Aptos Display"/>
      <w:b/>
      <w:bCs/>
      <w:color w:val="8A745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201E"/>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667074"/>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