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60"/>
        </w:rPr>
        <w:t>CODA ATER</w:t>
      </w:r>
    </w:p>
    <w:p>
      <w:pPr>
        <w:jc w:val="center"/>
      </w:pPr>
      <w:r>
        <w:rPr>
          <w:rFonts w:ascii="Aptos Display" w:hAnsi="Aptos Display"/>
          <w:b/>
          <w:sz w:val="36"/>
        </w:rPr>
        <w:t>Version 2.1 — Confrontation à De Ninno–Gamberale (2025)</w:t>
      </w:r>
    </w:p>
    <w:p>
      <w:pPr>
        <w:jc w:val="center"/>
      </w:pPr>
      <w:r>
        <w:rPr>
          <w:i/>
          <w:sz w:val="23"/>
        </w:rPr>
        <w:t>Du programme falsifiable à la confrontation avec une théorie QED explicite</w:t>
      </w:r>
    </w:p>
    <w:p>
      <w:pPr>
        <w:jc w:val="center"/>
      </w:pPr>
      <w:r>
        <w:rPr>
          <w:sz w:val="19"/>
        </w:rPr>
        <w:t>Michel Vandenberghe &amp; ZEON · 8 septembre 2026</w:t>
      </w:r>
    </w:p>
    <w:p/>
    <w:tbl>
      <w:tblPr>
        <w:tblW w:type="auto" w:w="0"/>
        <w:jc w:val="center"/>
        <w:tblLayout w:type="autofit"/>
        <w:tblLook w:firstColumn="1" w:firstRow="1" w:lastColumn="0" w:lastRow="0" w:noHBand="0" w:noVBand="1" w:val="04A0"/>
      </w:tblPr>
      <w:tblGrid>
        <w:gridCol w:w="9994"/>
      </w:tblGrid>
      <w:tr>
        <w:trPr>
          <w:cantSplit/>
          <w:tblHeader/>
        </w:trPr>
        <w:tc>
          <w:tcPr>
            <w:tcW w:type="dxa" w:w="9994"/>
            <w:shd w:fill="F3EFE5"/>
            <w:tcMar>
              <w:top w:w="140" w:type="dxa"/>
              <w:start w:w="180" w:type="dxa"/>
              <w:bottom w:w="140" w:type="dxa"/>
              <w:end w:w="180" w:type="dxa"/>
            </w:tcMar>
          </w:tcPr>
          <w:p>
            <w:pPr>
              <w:pStyle w:val="Callout"/>
            </w:pPr>
            <w:r>
              <w:t>Statut de version. La v2.0 reste figée comme trace du cadre construit avant la lecture intégrale du papier De Ninno–Gamberale. La v2.1 ne réécrit pas silencieusement cette histoire : elle documente ce que la confrontation au papier oblige à corriger, préciser ou tester.</w:t>
            </w:r>
          </w:p>
        </w:tc>
      </w:tr>
    </w:tbl>
    <w:p/>
    <w:p>
      <w:pPr>
        <w:pStyle w:val="Heading1"/>
      </w:pPr>
      <w:r>
        <w:t>Sommaire</w:t>
      </w:r>
    </w:p>
    <w:p>
      <w:pPr>
        <w:spacing w:after="40"/>
      </w:pPr>
      <w:r>
        <w:t>0. Statut, source primaire et chronologie</w:t>
      </w:r>
    </w:p>
    <w:p>
      <w:pPr>
        <w:spacing w:after="40"/>
      </w:pPr>
      <w:r>
        <w:t>1. Pourquoi le papier change la cible de CODA ATER</w:t>
      </w:r>
    </w:p>
    <w:p>
      <w:pPr>
        <w:spacing w:after="40"/>
      </w:pPr>
      <w:r>
        <w:t>2. Ce que le papier affirme — carte minimale</w:t>
      </w:r>
    </w:p>
    <w:p>
      <w:pPr>
        <w:spacing w:after="40"/>
      </w:pPr>
      <w:r>
        <w:t>3. Ce que CODA ATER v2.0 avait correctement installé</w:t>
      </w:r>
    </w:p>
    <w:p>
      <w:pPr>
        <w:spacing w:after="40"/>
      </w:pPr>
      <w:r>
        <w:t>4. Corrections imposées à v2.0</w:t>
      </w:r>
    </w:p>
    <w:p>
      <w:pPr>
        <w:spacing w:after="40"/>
      </w:pPr>
      <w:r>
        <w:t>5. Architecture révisée des hypothèses</w:t>
      </w:r>
    </w:p>
    <w:p>
      <w:pPr>
        <w:spacing w:after="40"/>
      </w:pPr>
      <w:r>
        <w:t>6. Hiérarchie de preuve révisée</w:t>
      </w:r>
    </w:p>
    <w:p>
      <w:pPr>
        <w:spacing w:after="40"/>
      </w:pPr>
      <w:r>
        <w:t>7. Six points de confrontation décisifs</w:t>
      </w:r>
    </w:p>
    <w:p>
      <w:pPr>
        <w:spacing w:after="40"/>
      </w:pPr>
      <w:r>
        <w:t>8. Point critique : conversion du champ biologique</w:t>
      </w:r>
    </w:p>
    <w:p>
      <w:pPr>
        <w:spacing w:after="40"/>
      </w:pPr>
      <w:r>
        <w:t>9. Programme de falsification v2.1</w:t>
      </w:r>
    </w:p>
    <w:p>
      <w:pPr>
        <w:spacing w:after="40"/>
      </w:pPr>
      <w:r>
        <w:t>10. Carte Coda révisée</w:t>
      </w:r>
    </w:p>
    <w:p>
      <w:pPr>
        <w:spacing w:after="40"/>
      </w:pPr>
      <w:r>
        <w:t>11. Questions désormais proposées à Luca</w:t>
      </w:r>
    </w:p>
    <w:p>
      <w:pPr>
        <w:spacing w:after="40"/>
      </w:pPr>
      <w:r>
        <w:t>12. Décision de version</w:t>
      </w:r>
    </w:p>
    <w:p>
      <w:pPr>
        <w:spacing w:after="40"/>
      </w:pPr>
      <w:r>
        <w:t>Références principales</w:t>
      </w:r>
    </w:p>
    <w:p>
      <w:r>
        <w:br w:type="page"/>
      </w:r>
    </w:p>
    <w:p>
      <w:pPr>
        <w:pStyle w:val="Heading1"/>
      </w:pPr>
      <w:r>
        <w:t>0. Statut, source primaire et chronologie</w:t>
      </w:r>
    </w:p>
    <w:p>
      <w:pPr/>
      <w:r>
        <w:t>Source primaire confrontée : Antonella De Ninno et Luca Gamberale, « A Coherent Electrodynamics Theory of Liquid Water », publié dans Liquids le 5 novembre 2025, DOI 10.3390/liquids5040030.</w:t>
      </w:r>
    </w:p>
    <w:p>
      <w:pPr/>
      <w:r>
        <w:t>Chronologie utile : CODA ATER I est daté de juin 2025 ; le papier De Ninno–Gamberale a été reçu par la revue le 25 juillet 2025, accepté le 15 octobre et publié le 5 novembre 2025. Cette chronologie est consignée sans inférer ici de relation d’influence ou d’antériorité intellectuelle entre les deux travaux.</w:t>
      </w:r>
    </w:p>
    <w:tbl>
      <w:tblPr>
        <w:tblW w:type="auto" w:w="0"/>
        <w:jc w:val="center"/>
        <w:tblLayout w:type="autofit"/>
        <w:tblLook w:firstColumn="1" w:firstRow="1" w:lastColumn="0" w:lastRow="0" w:noHBand="0" w:noVBand="1" w:val="04A0"/>
      </w:tblPr>
      <w:tblGrid>
        <w:gridCol w:w="9994"/>
      </w:tblGrid>
      <w:tr>
        <w:trPr>
          <w:cantSplit/>
          <w:tblHeader/>
        </w:trPr>
        <w:tc>
          <w:tcPr>
            <w:tcW w:type="dxa" w:w="9994"/>
            <w:shd w:fill="F3EFE5"/>
            <w:tcMar>
              <w:top w:w="140" w:type="dxa"/>
              <w:start w:w="180" w:type="dxa"/>
              <w:bottom w:w="140" w:type="dxa"/>
              <w:end w:w="180" w:type="dxa"/>
            </w:tcMar>
          </w:tcPr>
          <w:p>
            <w:pPr>
              <w:pStyle w:val="Callout"/>
            </w:pPr>
            <w:r>
              <w:rPr>
                <w:b/>
              </w:rPr>
              <w:t>Décision méthodologique : v2.0 = état avant confrontation ; v2.1 = confrontation documentée. Aucune correction rétrospective silencieuse.</w:t>
            </w:r>
          </w:p>
        </w:tc>
      </w:tr>
    </w:tbl>
    <w:p/>
    <w:p>
      <w:pPr>
        <w:pStyle w:val="Heading1"/>
      </w:pPr>
      <w:r>
        <w:t>1. Pourquoi le papier change la cible de CODA ATER</w:t>
      </w:r>
    </w:p>
    <w:p>
      <w:r>
        <w:t>CODA ATER v2.0 cherchait à remplacer une hypothèse trop vite nommée « eau cohérente » par un programme de preuve : partir des observables, distinguer organisation collective et nature quantique, puis ne parler de phase ou de cohérence quantique qu’après des tests discriminants.</w:t>
      </w:r>
    </w:p>
    <w:p>
      <w:r>
        <w:t>Le papier De Ninno–Gamberale donne désormais une cible physique beaucoup plus précise. Il ne propose pas une condensation Bose–Einstein translationnelle de molécules H₂O. Il attribue au liquide une composante cohérente issue d’une brisure spontanée de symétrie du champ électromagnétique, avec des molécules verrouillées en phase dans des domaines de cohérence (CDs), coexistant avec une composante incohérente.</w:t>
      </w:r>
    </w:p>
    <w:tbl>
      <w:tblPr>
        <w:tblW w:type="auto" w:w="0"/>
        <w:jc w:val="center"/>
        <w:tblLayout w:type="autofit"/>
        <w:tblLook w:firstColumn="1" w:firstRow="1" w:lastColumn="0" w:lastRow="0" w:noHBand="0" w:noVBand="1" w:val="04A0"/>
      </w:tblPr>
      <w:tblGrid>
        <w:gridCol w:w="9994"/>
      </w:tblGrid>
      <w:tr>
        <w:trPr>
          <w:cantSplit/>
          <w:tblHeader/>
        </w:trPr>
        <w:tc>
          <w:tcPr>
            <w:tcW w:type="dxa" w:w="9994"/>
            <w:shd w:fill="F3EFE5"/>
            <w:tcMar>
              <w:top w:w="140" w:type="dxa"/>
              <w:start w:w="180" w:type="dxa"/>
              <w:bottom w:w="140" w:type="dxa"/>
              <w:end w:w="180" w:type="dxa"/>
            </w:tcMar>
          </w:tcPr>
          <w:p>
            <w:pPr>
              <w:pStyle w:val="Callout"/>
            </w:pPr>
            <w:r>
              <w:rPr>
                <w:b/>
              </w:rPr>
              <w:t>Le problème n’est donc plus : « peut-il exister quelque chose de collectif dans l’eau ? » Il devient : « quelle observation distingue un domaine cohérent QED d’une organisation collective classique ou semi-classique de l’eau ? »</w:t>
            </w:r>
          </w:p>
        </w:tc>
      </w:tr>
    </w:tbl>
    <w:p/>
    <w:p>
      <w:pPr>
        <w:pStyle w:val="Heading1"/>
      </w:pPr>
      <w:r>
        <w:t>2. Ce que le papier affirme — carte minimale</w:t>
      </w:r>
    </w:p>
    <w:tbl>
      <w:tblPr>
        <w:tblStyle w:val="TableGrid"/>
        <w:tblW w:type="auto" w:w="0"/>
        <w:jc w:val="center"/>
        <w:tblLook w:firstColumn="1" w:firstRow="1" w:lastColumn="0" w:lastRow="0" w:noHBand="0" w:noVBand="1" w:val="04A0"/>
      </w:tblPr>
      <w:tblGrid>
        <w:gridCol w:w="3331"/>
        <w:gridCol w:w="3331"/>
        <w:gridCol w:w="3331"/>
      </w:tblGrid>
      <w:tr>
        <w:trPr>
          <w:cantSplit/>
          <w:tblHeader/>
        </w:trPr>
        <w:tc>
          <w:tcPr>
            <w:tcW w:type="dxa" w:w="3331"/>
            <w:vAlign w:val="top"/>
            <w:tcMar>
              <w:top w:w="80" w:type="dxa"/>
              <w:start w:w="90" w:type="dxa"/>
              <w:bottom w:w="80" w:type="dxa"/>
              <w:end w:w="90" w:type="dxa"/>
            </w:tcMar>
            <w:shd w:fill="E8EFEC"/>
          </w:tcPr>
          <w:p>
            <w:pPr>
              <w:spacing w:after="0"/>
            </w:pPr>
            <w:r>
              <w:rPr>
                <w:b/>
                <w:sz w:val="18"/>
              </w:rPr>
              <w:t>Élément du papier</w:t>
            </w:r>
          </w:p>
        </w:tc>
        <w:tc>
          <w:tcPr>
            <w:tcW w:type="dxa" w:w="3331"/>
            <w:vAlign w:val="top"/>
            <w:tcMar>
              <w:top w:w="80" w:type="dxa"/>
              <w:start w:w="90" w:type="dxa"/>
              <w:bottom w:w="80" w:type="dxa"/>
              <w:end w:w="90" w:type="dxa"/>
            </w:tcMar>
            <w:shd w:fill="E8EFEC"/>
          </w:tcPr>
          <w:p>
            <w:pPr>
              <w:spacing w:after="0"/>
            </w:pPr>
            <w:r>
              <w:rPr>
                <w:b/>
                <w:sz w:val="18"/>
              </w:rPr>
              <w:t>Formulation / valeur avancée</w:t>
            </w:r>
          </w:p>
        </w:tc>
        <w:tc>
          <w:tcPr>
            <w:tcW w:type="dxa" w:w="3331"/>
            <w:vAlign w:val="top"/>
            <w:tcMar>
              <w:top w:w="80" w:type="dxa"/>
              <w:start w:w="90" w:type="dxa"/>
              <w:bottom w:w="80" w:type="dxa"/>
              <w:end w:w="90" w:type="dxa"/>
            </w:tcMar>
            <w:shd w:fill="E8EFEC"/>
          </w:tcPr>
          <w:p>
            <w:pPr>
              <w:spacing w:after="0"/>
            </w:pPr>
            <w:r>
              <w:rPr>
                <w:b/>
                <w:sz w:val="18"/>
              </w:rPr>
              <w:t>Statut pour CODA ATER v2.1</w:t>
            </w:r>
          </w:p>
        </w:tc>
      </w:tr>
      <w:tr>
        <w:trPr>
          <w:cantSplit/>
        </w:trPr>
        <w:tc>
          <w:tcPr>
            <w:tcW w:type="dxa" w:w="3331"/>
            <w:vAlign w:val="top"/>
            <w:tcMar>
              <w:top w:w="80" w:type="dxa"/>
              <w:start w:w="90" w:type="dxa"/>
              <w:bottom w:w="80" w:type="dxa"/>
              <w:end w:w="90" w:type="dxa"/>
            </w:tcMar>
          </w:tcPr>
          <w:p>
            <w:pPr>
              <w:spacing w:after="0"/>
            </w:pPr>
            <w:r>
              <w:rPr>
                <w:sz w:val="18"/>
              </w:rPr>
              <w:t>Nature du modèle</w:t>
            </w:r>
          </w:p>
        </w:tc>
        <w:tc>
          <w:tcPr>
            <w:tcW w:type="dxa" w:w="3331"/>
            <w:vAlign w:val="top"/>
            <w:tcMar>
              <w:top w:w="80" w:type="dxa"/>
              <w:start w:w="90" w:type="dxa"/>
              <w:bottom w:w="80" w:type="dxa"/>
              <w:end w:w="90" w:type="dxa"/>
            </w:tcMar>
          </w:tcPr>
          <w:p>
            <w:pPr>
              <w:spacing w:after="0"/>
            </w:pPr>
            <w:r>
              <w:rPr>
                <w:sz w:val="18"/>
              </w:rPr>
              <w:t>Deux fractions : cohérente + incohérente ; la cohérence est attribuée au champ électromagnétique et aux états électroniques.</w:t>
            </w:r>
          </w:p>
        </w:tc>
        <w:tc>
          <w:tcPr>
            <w:tcW w:type="dxa" w:w="3331"/>
            <w:vAlign w:val="top"/>
            <w:tcMar>
              <w:top w:w="80" w:type="dxa"/>
              <w:start w:w="90" w:type="dxa"/>
              <w:bottom w:w="80" w:type="dxa"/>
              <w:end w:w="90" w:type="dxa"/>
            </w:tcMar>
          </w:tcPr>
          <w:p>
            <w:pPr>
              <w:spacing w:after="0"/>
            </w:pPr>
            <w:r>
              <w:rPr>
                <w:sz w:val="18"/>
              </w:rPr>
              <w:t>Hypothèse physique explicite à tester, non assimilable à une BEC moléculaire.</w:t>
            </w:r>
          </w:p>
        </w:tc>
      </w:tr>
      <w:tr>
        <w:trPr>
          <w:cantSplit/>
        </w:trPr>
        <w:tc>
          <w:tcPr>
            <w:tcW w:type="dxa" w:w="3331"/>
            <w:vAlign w:val="top"/>
            <w:tcMar>
              <w:top w:w="80" w:type="dxa"/>
              <w:start w:w="90" w:type="dxa"/>
              <w:bottom w:w="80" w:type="dxa"/>
              <w:end w:w="90" w:type="dxa"/>
            </w:tcMar>
          </w:tcPr>
          <w:p>
            <w:pPr>
              <w:spacing w:after="0"/>
            </w:pPr>
            <w:r>
              <w:rPr>
                <w:sz w:val="18"/>
              </w:rPr>
              <w:t>État cohérent</w:t>
            </w:r>
          </w:p>
        </w:tc>
        <w:tc>
          <w:tcPr>
            <w:tcW w:type="dxa" w:w="3331"/>
            <w:vAlign w:val="top"/>
            <w:tcMar>
              <w:top w:w="80" w:type="dxa"/>
              <w:start w:w="90" w:type="dxa"/>
              <w:bottom w:w="80" w:type="dxa"/>
              <w:end w:w="90" w:type="dxa"/>
            </w:tcMar>
          </w:tcPr>
          <w:p>
            <w:pPr>
              <w:spacing w:after="0"/>
            </w:pPr>
            <w:r>
              <w:rPr>
                <w:sz w:val="18"/>
              </w:rPr>
              <w:t>Superposition de l’état fondamental et d’un état électronique 5d à 12,06 eV ; gap cohérent d’environ 0,3 eV.</w:t>
            </w:r>
          </w:p>
        </w:tc>
        <w:tc>
          <w:tcPr>
            <w:tcW w:type="dxa" w:w="3331"/>
            <w:vAlign w:val="top"/>
            <w:tcMar>
              <w:top w:w="80" w:type="dxa"/>
              <w:start w:w="90" w:type="dxa"/>
              <w:bottom w:w="80" w:type="dxa"/>
              <w:end w:w="90" w:type="dxa"/>
            </w:tcMar>
          </w:tcPr>
          <w:p>
            <w:pPr>
              <w:spacing w:after="0"/>
            </w:pPr>
            <w:r>
              <w:rPr>
                <w:sz w:val="18"/>
              </w:rPr>
              <w:t>Chercher une conséquence spectroscopique ou dynamique propre au mécanisme, pas seulement une anomalie thermodynamique.</w:t>
            </w:r>
          </w:p>
        </w:tc>
      </w:tr>
      <w:tr>
        <w:trPr>
          <w:cantSplit/>
        </w:trPr>
        <w:tc>
          <w:tcPr>
            <w:tcW w:type="dxa" w:w="3331"/>
            <w:vAlign w:val="top"/>
            <w:tcMar>
              <w:top w:w="80" w:type="dxa"/>
              <w:start w:w="90" w:type="dxa"/>
              <w:bottom w:w="80" w:type="dxa"/>
              <w:end w:w="90" w:type="dxa"/>
            </w:tcMar>
          </w:tcPr>
          <w:p>
            <w:pPr>
              <w:spacing w:after="0"/>
            </w:pPr>
            <w:r>
              <w:rPr>
                <w:sz w:val="18"/>
              </w:rPr>
              <w:t>Échelle spatiale</w:t>
            </w:r>
          </w:p>
        </w:tc>
        <w:tc>
          <w:tcPr>
            <w:tcW w:type="dxa" w:w="3331"/>
            <w:vAlign w:val="top"/>
            <w:tcMar>
              <w:top w:w="80" w:type="dxa"/>
              <w:start w:w="90" w:type="dxa"/>
              <w:bottom w:w="80" w:type="dxa"/>
              <w:end w:w="90" w:type="dxa"/>
            </w:tcMar>
          </w:tcPr>
          <w:p>
            <w:pPr>
              <w:spacing w:after="0"/>
            </w:pPr>
            <w:r>
              <w:rPr>
                <w:sz w:val="18"/>
              </w:rPr>
              <w:t>Rayon de profil d’un CD ~38 nm ; conclusion : taille moyenne ~50 nm ; organisation structurale évoquée autour de l’échelle ~100 nm.</w:t>
            </w:r>
          </w:p>
        </w:tc>
        <w:tc>
          <w:tcPr>
            <w:tcW w:type="dxa" w:w="3331"/>
            <w:vAlign w:val="top"/>
            <w:tcMar>
              <w:top w:w="80" w:type="dxa"/>
              <w:start w:w="90" w:type="dxa"/>
              <w:bottom w:w="80" w:type="dxa"/>
              <w:end w:w="90" w:type="dxa"/>
            </w:tcMar>
          </w:tcPr>
          <w:p>
            <w:pPr>
              <w:spacing w:after="0"/>
            </w:pPr>
            <w:r>
              <w:rPr>
                <w:sz w:val="18"/>
              </w:rPr>
              <w:t>Prédiction de longueur caractéristique potentiellement discriminante.</w:t>
            </w:r>
          </w:p>
        </w:tc>
      </w:tr>
      <w:tr>
        <w:trPr>
          <w:cantSplit/>
        </w:trPr>
        <w:tc>
          <w:tcPr>
            <w:tcW w:type="dxa" w:w="3331"/>
            <w:vAlign w:val="top"/>
            <w:tcMar>
              <w:top w:w="80" w:type="dxa"/>
              <w:start w:w="90" w:type="dxa"/>
              <w:bottom w:w="80" w:type="dxa"/>
              <w:end w:w="90" w:type="dxa"/>
            </w:tcMar>
          </w:tcPr>
          <w:p>
            <w:pPr>
              <w:spacing w:after="0"/>
            </w:pPr>
            <w:r>
              <w:rPr>
                <w:sz w:val="18"/>
              </w:rPr>
              <w:t>Fraction cohérente</w:t>
            </w:r>
          </w:p>
        </w:tc>
        <w:tc>
          <w:tcPr>
            <w:tcW w:type="dxa" w:w="3331"/>
            <w:vAlign w:val="top"/>
            <w:tcMar>
              <w:top w:w="80" w:type="dxa"/>
              <w:start w:w="90" w:type="dxa"/>
              <w:bottom w:w="80" w:type="dxa"/>
              <w:end w:w="90" w:type="dxa"/>
            </w:tcMar>
          </w:tcPr>
          <w:p>
            <w:pPr>
              <w:spacing w:after="0"/>
            </w:pPr>
            <w:r>
              <w:rPr>
                <w:sz w:val="18"/>
              </w:rPr>
              <w:t>ϕvol(T), ϕmol(T) obtenues par égalité de pression et de potentiel chimique entre fractions.</w:t>
            </w:r>
          </w:p>
        </w:tc>
        <w:tc>
          <w:tcPr>
            <w:tcW w:type="dxa" w:w="3331"/>
            <w:vAlign w:val="top"/>
            <w:tcMar>
              <w:top w:w="80" w:type="dxa"/>
              <w:start w:w="90" w:type="dxa"/>
              <w:bottom w:w="80" w:type="dxa"/>
              <w:end w:w="90" w:type="dxa"/>
            </w:tcMar>
          </w:tcPr>
          <w:p>
            <w:pPr>
              <w:spacing w:after="0"/>
            </w:pPr>
            <w:r>
              <w:rPr>
                <w:sz w:val="18"/>
              </w:rPr>
              <w:t>Variable latente dérivée du modèle ; demander un estimateur expérimental indépendant.</w:t>
            </w:r>
          </w:p>
        </w:tc>
      </w:tr>
      <w:tr>
        <w:trPr>
          <w:cantSplit/>
        </w:trPr>
        <w:tc>
          <w:tcPr>
            <w:tcW w:type="dxa" w:w="3331"/>
            <w:vAlign w:val="top"/>
            <w:tcMar>
              <w:top w:w="80" w:type="dxa"/>
              <w:start w:w="90" w:type="dxa"/>
              <w:bottom w:w="80" w:type="dxa"/>
              <w:end w:w="90" w:type="dxa"/>
            </w:tcMar>
          </w:tcPr>
          <w:p>
            <w:pPr>
              <w:spacing w:after="0"/>
            </w:pPr>
            <w:r>
              <w:rPr>
                <w:sz w:val="18"/>
              </w:rPr>
              <w:t>Thermodynamique</w:t>
            </w:r>
          </w:p>
        </w:tc>
        <w:tc>
          <w:tcPr>
            <w:tcW w:type="dxa" w:w="3331"/>
            <w:vAlign w:val="top"/>
            <w:tcMar>
              <w:top w:w="80" w:type="dxa"/>
              <w:start w:w="90" w:type="dxa"/>
              <w:bottom w:w="80" w:type="dxa"/>
              <w:end w:w="90" w:type="dxa"/>
            </w:tcMar>
          </w:tcPr>
          <w:p>
            <w:pPr>
              <w:spacing w:after="0"/>
            </w:pPr>
            <w:r>
              <w:rPr>
                <w:sz w:val="18"/>
              </w:rPr>
              <w:t>Densité, dilatation, chaleur spécifique, compressibilité et constante diélectrique sont calculées dans le cadre à deux fractions.</w:t>
            </w:r>
          </w:p>
        </w:tc>
        <w:tc>
          <w:tcPr>
            <w:tcW w:type="dxa" w:w="3331"/>
            <w:vAlign w:val="top"/>
            <w:tcMar>
              <w:top w:w="80" w:type="dxa"/>
              <w:start w:w="90" w:type="dxa"/>
              <w:bottom w:w="80" w:type="dxa"/>
              <w:end w:w="90" w:type="dxa"/>
            </w:tcMar>
          </w:tcPr>
          <w:p>
            <w:pPr>
              <w:spacing w:after="0"/>
            </w:pPr>
            <w:r>
              <w:rPr>
                <w:sz w:val="18"/>
              </w:rPr>
              <w:t>Comparer sur des observables non utilisées pour l’ajustement et à des références conventionnelles réalistes.</w:t>
            </w:r>
          </w:p>
        </w:tc>
      </w:tr>
      <w:tr>
        <w:trPr>
          <w:cantSplit/>
        </w:trPr>
        <w:tc>
          <w:tcPr>
            <w:tcW w:type="dxa" w:w="3331"/>
            <w:vAlign w:val="top"/>
            <w:tcMar>
              <w:top w:w="80" w:type="dxa"/>
              <w:start w:w="90" w:type="dxa"/>
              <w:bottom w:w="80" w:type="dxa"/>
              <w:end w:w="90" w:type="dxa"/>
            </w:tcMar>
          </w:tcPr>
          <w:p>
            <w:pPr>
              <w:spacing w:after="0"/>
            </w:pPr>
            <w:r>
              <w:rPr>
                <w:sz w:val="18"/>
              </w:rPr>
              <w:t>Champ électrique</w:t>
            </w:r>
          </w:p>
        </w:tc>
        <w:tc>
          <w:tcPr>
            <w:tcW w:type="dxa" w:w="3331"/>
            <w:vAlign w:val="top"/>
            <w:tcMar>
              <w:top w:w="80" w:type="dxa"/>
              <w:start w:w="90" w:type="dxa"/>
              <w:bottom w:w="80" w:type="dxa"/>
              <w:end w:w="90" w:type="dxa"/>
            </w:tcMar>
          </w:tcPr>
          <w:p>
            <w:pPr>
              <w:spacing w:after="0"/>
            </w:pPr>
            <w:r>
              <w:rPr>
                <w:sz w:val="18"/>
              </w:rPr>
              <w:t>La phase cohérente, beaucoup plus polarisable, serait favorisée par un champ statique intense ; rapprochement avec l’électrofreezing à 0,10–0,15 V Å⁻¹.</w:t>
            </w:r>
          </w:p>
        </w:tc>
        <w:tc>
          <w:tcPr>
            <w:tcW w:type="dxa" w:w="3331"/>
            <w:vAlign w:val="top"/>
            <w:tcMar>
              <w:top w:w="80" w:type="dxa"/>
              <w:start w:w="90" w:type="dxa"/>
              <w:bottom w:w="80" w:type="dxa"/>
              <w:end w:w="90" w:type="dxa"/>
            </w:tcMar>
          </w:tcPr>
          <w:p>
            <w:pPr>
              <w:spacing w:after="0"/>
            </w:pPr>
            <w:r>
              <w:rPr>
                <w:sz w:val="18"/>
              </w:rPr>
              <w:t>Ajouter E comme axe explicite de la Carte Coda.</w:t>
            </w:r>
          </w:p>
        </w:tc>
      </w:tr>
      <w:tr>
        <w:trPr>
          <w:cantSplit/>
        </w:trPr>
        <w:tc>
          <w:tcPr>
            <w:tcW w:type="dxa" w:w="3331"/>
            <w:vAlign w:val="top"/>
            <w:tcMar>
              <w:top w:w="80" w:type="dxa"/>
              <w:start w:w="90" w:type="dxa"/>
              <w:bottom w:w="80" w:type="dxa"/>
              <w:end w:w="90" w:type="dxa"/>
            </w:tcMar>
          </w:tcPr>
          <w:p>
            <w:pPr>
              <w:spacing w:after="0"/>
            </w:pPr>
            <w:r>
              <w:rPr>
                <w:sz w:val="18"/>
              </w:rPr>
              <w:t>Preuve directe</w:t>
            </w:r>
          </w:p>
        </w:tc>
        <w:tc>
          <w:tcPr>
            <w:tcW w:type="dxa" w:w="3331"/>
            <w:vAlign w:val="top"/>
            <w:tcMar>
              <w:top w:w="80" w:type="dxa"/>
              <w:start w:w="90" w:type="dxa"/>
              <w:bottom w:w="80" w:type="dxa"/>
              <w:end w:w="90" w:type="dxa"/>
            </w:tcMar>
          </w:tcPr>
          <w:p>
            <w:pPr>
              <w:spacing w:after="0"/>
            </w:pPr>
            <w:r>
              <w:rPr>
                <w:sz w:val="18"/>
              </w:rPr>
              <w:t>Les auteurs indiquent qu’aucune preuve expérimentale directe des CDs n’existe à ce jour.</w:t>
            </w:r>
          </w:p>
        </w:tc>
        <w:tc>
          <w:tcPr>
            <w:tcW w:type="dxa" w:w="3331"/>
            <w:vAlign w:val="top"/>
            <w:tcMar>
              <w:top w:w="80" w:type="dxa"/>
              <w:start w:w="90" w:type="dxa"/>
              <w:bottom w:w="80" w:type="dxa"/>
              <w:end w:w="90" w:type="dxa"/>
            </w:tcMar>
          </w:tcPr>
          <w:p>
            <w:pPr>
              <w:spacing w:after="0"/>
            </w:pPr>
            <w:r>
              <w:rPr>
                <w:sz w:val="18"/>
              </w:rPr>
              <w:t>Point central : rechercher une signature spécifique et non seulement compatible.</w:t>
            </w:r>
          </w:p>
        </w:tc>
      </w:tr>
    </w:tbl>
    <w:p/>
    <w:p>
      <w:pPr>
        <w:pStyle w:val="Heading1"/>
      </w:pPr>
      <w:r>
        <w:t>3. Ce que CODA ATER v2.0 avait correctement installé</w:t>
      </w:r>
    </w:p>
    <w:p>
      <w:r>
        <w:t>Plusieurs choix de v2.0 restent valides et deviennent même plus utiles face à une théorie précise.</w:t>
      </w:r>
    </w:p>
    <w:p>
      <w:pPr>
        <w:pStyle w:val="ListBullet"/>
      </w:pPr>
      <w:r>
        <w:t>Séparer organisation collective et nature quantique : une corrélation étendue, une bande THz ou une structuration à deux états ne prouve pas une cohérence quantique.</w:t>
      </w:r>
    </w:p>
    <w:p>
      <w:pPr>
        <w:pStyle w:val="ListBullet"/>
      </w:pPr>
      <w:r>
        <w:t>Exiger que chaque niveau d’hypothèse batte une explication plus simple : une théorie QED ne gagne pas parce qu’elle reproduit une anomalie déjà reproduisible par un modèle conventionnel.</w:t>
      </w:r>
    </w:p>
    <w:p>
      <w:pPr>
        <w:pStyle w:val="ListBullet"/>
      </w:pPr>
      <w:r>
        <w:t>Privilégier des observables convergentes : portée spatiale ξ, persistance τ, participation D, réponse diélectrique, structure et thermodynamique.</w:t>
      </w:r>
    </w:p>
    <w:p>
      <w:pPr>
        <w:pStyle w:val="ListBullet"/>
      </w:pPr>
      <w:r>
        <w:t>Construire la thermodynamique depuis une énergie libre et des conditions d’équilibre, plutôt que par une moyenne ad hoc des pressions.</w:t>
      </w:r>
    </w:p>
    <w:p>
      <w:pPr>
        <w:pStyle w:val="ListBullet"/>
      </w:pPr>
      <w:r>
        <w:t>Conserver une sortie « crossover / régime collectif classique » comme résultat valable si la signature quantique ne passe pas les tests.</w:t>
      </w:r>
    </w:p>
    <w:p>
      <w:pPr>
        <w:pStyle w:val="Heading1"/>
      </w:pPr>
      <w:r>
        <w:t>4. Corrections imposées à v2.0</w:t>
      </w:r>
    </w:p>
    <w:tbl>
      <w:tblPr>
        <w:tblStyle w:val="TableGrid"/>
        <w:tblW w:type="auto" w:w="0"/>
        <w:jc w:val="center"/>
        <w:tblLook w:firstColumn="1" w:firstRow="1" w:lastColumn="0" w:lastRow="0" w:noHBand="0" w:noVBand="1" w:val="04A0"/>
      </w:tblPr>
      <w:tblGrid>
        <w:gridCol w:w="3331"/>
        <w:gridCol w:w="3331"/>
        <w:gridCol w:w="3331"/>
      </w:tblGrid>
      <w:tr>
        <w:trPr>
          <w:cantSplit/>
          <w:tblHeader/>
        </w:trPr>
        <w:tc>
          <w:tcPr>
            <w:tcW w:type="dxa" w:w="3331"/>
            <w:vAlign w:val="top"/>
            <w:tcMar>
              <w:top w:w="80" w:type="dxa"/>
              <w:start w:w="90" w:type="dxa"/>
              <w:bottom w:w="80" w:type="dxa"/>
              <w:end w:w="90" w:type="dxa"/>
            </w:tcMar>
            <w:shd w:fill="E8EFEC"/>
          </w:tcPr>
          <w:p>
            <w:pPr>
              <w:spacing w:after="0"/>
            </w:pPr>
            <w:r>
              <w:rPr>
                <w:b/>
                <w:sz w:val="18"/>
              </w:rPr>
              <w:t>Point de v2.0</w:t>
            </w:r>
          </w:p>
        </w:tc>
        <w:tc>
          <w:tcPr>
            <w:tcW w:type="dxa" w:w="3331"/>
            <w:vAlign w:val="top"/>
            <w:tcMar>
              <w:top w:w="80" w:type="dxa"/>
              <w:start w:w="90" w:type="dxa"/>
              <w:bottom w:w="80" w:type="dxa"/>
              <w:end w:w="90" w:type="dxa"/>
            </w:tcMar>
            <w:shd w:fill="E8EFEC"/>
          </w:tcPr>
          <w:p>
            <w:pPr>
              <w:spacing w:after="0"/>
            </w:pPr>
            <w:r>
              <w:rPr>
                <w:b/>
                <w:sz w:val="18"/>
              </w:rPr>
              <w:t>Correction v2.1</w:t>
            </w:r>
          </w:p>
        </w:tc>
        <w:tc>
          <w:tcPr>
            <w:tcW w:type="dxa" w:w="3331"/>
            <w:vAlign w:val="top"/>
            <w:tcMar>
              <w:top w:w="80" w:type="dxa"/>
              <w:start w:w="90" w:type="dxa"/>
              <w:bottom w:w="80" w:type="dxa"/>
              <w:end w:w="90" w:type="dxa"/>
            </w:tcMar>
            <w:shd w:fill="E8EFEC"/>
          </w:tcPr>
          <w:p>
            <w:pPr>
              <w:spacing w:after="0"/>
            </w:pPr>
            <w:r>
              <w:rPr>
                <w:b/>
                <w:sz w:val="18"/>
              </w:rPr>
              <w:t>Conséquence</w:t>
            </w:r>
          </w:p>
        </w:tc>
      </w:tr>
      <w:tr>
        <w:trPr>
          <w:cantSplit/>
        </w:trPr>
        <w:tc>
          <w:tcPr>
            <w:tcW w:type="dxa" w:w="3331"/>
            <w:vAlign w:val="top"/>
            <w:tcMar>
              <w:top w:w="80" w:type="dxa"/>
              <w:start w:w="90" w:type="dxa"/>
              <w:bottom w:w="80" w:type="dxa"/>
              <w:end w:w="90" w:type="dxa"/>
            </w:tcMar>
          </w:tcPr>
          <w:p>
            <w:pPr>
              <w:spacing w:after="0"/>
            </w:pPr>
            <w:r>
              <w:rPr>
                <w:sz w:val="18"/>
              </w:rPr>
              <w:t>Longueur thermique de de Broglie / BEC</w:t>
            </w:r>
          </w:p>
        </w:tc>
        <w:tc>
          <w:tcPr>
            <w:tcW w:type="dxa" w:w="3331"/>
            <w:vAlign w:val="top"/>
            <w:tcMar>
              <w:top w:w="80" w:type="dxa"/>
              <w:start w:w="90" w:type="dxa"/>
              <w:bottom w:w="80" w:type="dxa"/>
              <w:end w:w="90" w:type="dxa"/>
            </w:tcMar>
          </w:tcPr>
          <w:p>
            <w:pPr>
              <w:spacing w:after="0"/>
            </w:pPr>
            <w:r>
              <w:rPr>
                <w:sz w:val="18"/>
              </w:rPr>
              <w:t>Le calcul reste correct mais ne teste que la dégénérescence translationnelle des molécules H₂O entières.</w:t>
            </w:r>
          </w:p>
        </w:tc>
        <w:tc>
          <w:tcPr>
            <w:tcW w:type="dxa" w:w="3331"/>
            <w:vAlign w:val="top"/>
            <w:tcMar>
              <w:top w:w="80" w:type="dxa"/>
              <w:start w:w="90" w:type="dxa"/>
              <w:bottom w:w="80" w:type="dxa"/>
              <w:end w:w="90" w:type="dxa"/>
            </w:tcMar>
          </w:tcPr>
          <w:p>
            <w:pPr>
              <w:spacing w:after="0"/>
            </w:pPr>
            <w:r>
              <w:rPr>
                <w:sz w:val="18"/>
              </w:rPr>
              <w:t>Ajouter explicitement : ce calcul ne réfute pas le mécanisme QED de De Ninno–Gamberale.</w:t>
            </w:r>
          </w:p>
        </w:tc>
      </w:tr>
      <w:tr>
        <w:trPr>
          <w:cantSplit/>
        </w:trPr>
        <w:tc>
          <w:tcPr>
            <w:tcW w:type="dxa" w:w="3331"/>
            <w:vAlign w:val="top"/>
            <w:tcMar>
              <w:top w:w="80" w:type="dxa"/>
              <w:start w:w="90" w:type="dxa"/>
              <w:bottom w:w="80" w:type="dxa"/>
              <w:end w:w="90" w:type="dxa"/>
            </w:tcMar>
          </w:tcPr>
          <w:p>
            <w:pPr>
              <w:spacing w:after="0"/>
            </w:pPr>
            <w:r>
              <w:rPr>
                <w:sz w:val="18"/>
              </w:rPr>
              <w:t>Axe physique linéaire : classique → NQE → cohérence quantique</w:t>
            </w:r>
          </w:p>
        </w:tc>
        <w:tc>
          <w:tcPr>
            <w:tcW w:type="dxa" w:w="3331"/>
            <w:vAlign w:val="top"/>
            <w:tcMar>
              <w:top w:w="80" w:type="dxa"/>
              <w:start w:w="90" w:type="dxa"/>
              <w:bottom w:w="80" w:type="dxa"/>
              <w:end w:w="90" w:type="dxa"/>
            </w:tcMar>
          </w:tcPr>
          <w:p>
            <w:pPr>
              <w:spacing w:after="0"/>
            </w:pPr>
            <w:r>
              <w:rPr>
                <w:sz w:val="18"/>
              </w:rPr>
              <w:t>Remplacer par une architecture branchée : collectivité classique ; effets quantiques nucléaires ; cohérence électronique/électromagnétique QED.</w:t>
            </w:r>
          </w:p>
        </w:tc>
        <w:tc>
          <w:tcPr>
            <w:tcW w:type="dxa" w:w="3331"/>
            <w:vAlign w:val="top"/>
            <w:tcMar>
              <w:top w:w="80" w:type="dxa"/>
              <w:start w:w="90" w:type="dxa"/>
              <w:bottom w:w="80" w:type="dxa"/>
              <w:end w:w="90" w:type="dxa"/>
            </w:tcMar>
          </w:tcPr>
          <w:p>
            <w:pPr>
              <w:spacing w:after="0"/>
            </w:pPr>
            <w:r>
              <w:rPr>
                <w:sz w:val="18"/>
              </w:rPr>
              <w:t>Les NQE ne sont plus un passage obligé vers l’hypothèse QED.</w:t>
            </w:r>
          </w:p>
        </w:tc>
      </w:tr>
      <w:tr>
        <w:trPr>
          <w:cantSplit/>
        </w:trPr>
        <w:tc>
          <w:tcPr>
            <w:tcW w:type="dxa" w:w="3331"/>
            <w:vAlign w:val="top"/>
            <w:tcMar>
              <w:top w:w="80" w:type="dxa"/>
              <w:start w:w="90" w:type="dxa"/>
              <w:bottom w:w="80" w:type="dxa"/>
              <w:end w:w="90" w:type="dxa"/>
            </w:tcMar>
          </w:tcPr>
          <w:p>
            <w:pPr>
              <w:spacing w:after="0"/>
            </w:pPr>
            <w:r>
              <w:rPr>
                <w:sz w:val="18"/>
              </w:rPr>
              <w:t>Fraction phénoménologique α(T)</w:t>
            </w:r>
          </w:p>
        </w:tc>
        <w:tc>
          <w:tcPr>
            <w:tcW w:type="dxa" w:w="3331"/>
            <w:vAlign w:val="top"/>
            <w:tcMar>
              <w:top w:w="80" w:type="dxa"/>
              <w:start w:w="90" w:type="dxa"/>
              <w:bottom w:w="80" w:type="dxa"/>
              <w:end w:w="90" w:type="dxa"/>
            </w:tcMar>
          </w:tcPr>
          <w:p>
            <w:pPr>
              <w:spacing w:after="0"/>
            </w:pPr>
            <w:r>
              <w:rPr>
                <w:sz w:val="18"/>
              </w:rPr>
              <w:t>Le papier ne pose pas une simple interpolation arbitraire : ϕ est calculée à partir de l’équilibre P/μ.</w:t>
            </w:r>
          </w:p>
        </w:tc>
        <w:tc>
          <w:tcPr>
            <w:tcW w:type="dxa" w:w="3331"/>
            <w:vAlign w:val="top"/>
            <w:tcMar>
              <w:top w:w="80" w:type="dxa"/>
              <w:start w:w="90" w:type="dxa"/>
              <w:bottom w:w="80" w:type="dxa"/>
              <w:end w:w="90" w:type="dxa"/>
            </w:tcMar>
          </w:tcPr>
          <w:p>
            <w:pPr>
              <w:spacing w:after="0"/>
            </w:pPr>
            <w:r>
              <w:rPr>
                <w:sz w:val="18"/>
              </w:rPr>
              <w:t>Ne pas attaquer le papier sur l’ancienne faiblesse de Coda Ater I ; tester plutôt l’identifiabilité indépendante de ϕ.</w:t>
            </w:r>
          </w:p>
        </w:tc>
      </w:tr>
      <w:tr>
        <w:trPr>
          <w:cantSplit/>
        </w:trPr>
        <w:tc>
          <w:tcPr>
            <w:tcW w:type="dxa" w:w="3331"/>
            <w:vAlign w:val="top"/>
            <w:tcMar>
              <w:top w:w="80" w:type="dxa"/>
              <w:start w:w="90" w:type="dxa"/>
              <w:bottom w:w="80" w:type="dxa"/>
              <w:end w:w="90" w:type="dxa"/>
            </w:tcMar>
          </w:tcPr>
          <w:p>
            <w:pPr>
              <w:spacing w:after="0"/>
            </w:pPr>
            <w:r>
              <w:rPr>
                <w:sz w:val="18"/>
              </w:rPr>
              <w:t>Carte Coda sans champ explicite</w:t>
            </w:r>
          </w:p>
        </w:tc>
        <w:tc>
          <w:tcPr>
            <w:tcW w:type="dxa" w:w="3331"/>
            <w:vAlign w:val="top"/>
            <w:tcMar>
              <w:top w:w="80" w:type="dxa"/>
              <w:start w:w="90" w:type="dxa"/>
              <w:bottom w:w="80" w:type="dxa"/>
              <w:end w:w="90" w:type="dxa"/>
            </w:tcMar>
          </w:tcPr>
          <w:p>
            <w:pPr>
              <w:spacing w:after="0"/>
            </w:pPr>
            <w:r>
              <w:rPr>
                <w:sz w:val="18"/>
              </w:rPr>
              <w:t>Ajouter E, champ électrique, comme variable de contrôle.</w:t>
            </w:r>
          </w:p>
        </w:tc>
        <w:tc>
          <w:tcPr>
            <w:tcW w:type="dxa" w:w="3331"/>
            <w:vAlign w:val="top"/>
            <w:tcMar>
              <w:top w:w="80" w:type="dxa"/>
              <w:start w:w="90" w:type="dxa"/>
              <w:bottom w:w="80" w:type="dxa"/>
              <w:end w:w="90" w:type="dxa"/>
            </w:tcMar>
          </w:tcPr>
          <w:p>
            <w:pPr>
              <w:spacing w:after="0"/>
            </w:pPr>
            <w:r>
              <w:rPr>
                <w:sz w:val="18"/>
              </w:rPr>
              <w:t>Tester la prédiction d’un déplacement d’équilibre vers la fraction cohérente.</w:t>
            </w:r>
          </w:p>
        </w:tc>
      </w:tr>
      <w:tr>
        <w:trPr>
          <w:cantSplit/>
        </w:trPr>
        <w:tc>
          <w:tcPr>
            <w:tcW w:type="dxa" w:w="3331"/>
            <w:vAlign w:val="top"/>
            <w:tcMar>
              <w:top w:w="80" w:type="dxa"/>
              <w:start w:w="90" w:type="dxa"/>
              <w:bottom w:w="80" w:type="dxa"/>
              <w:end w:w="90" w:type="dxa"/>
            </w:tcMar>
          </w:tcPr>
          <w:p>
            <w:pPr>
              <w:spacing w:after="0"/>
            </w:pPr>
            <w:r>
              <w:rPr>
                <w:sz w:val="18"/>
              </w:rPr>
              <w:t>H3 générique : cohérence quantique collective</w:t>
            </w:r>
          </w:p>
        </w:tc>
        <w:tc>
          <w:tcPr>
            <w:tcW w:type="dxa" w:w="3331"/>
            <w:vAlign w:val="top"/>
            <w:tcMar>
              <w:top w:w="80" w:type="dxa"/>
              <w:start w:w="90" w:type="dxa"/>
              <w:bottom w:w="80" w:type="dxa"/>
              <w:end w:w="90" w:type="dxa"/>
            </w:tcMar>
          </w:tcPr>
          <w:p>
            <w:pPr>
              <w:spacing w:after="0"/>
            </w:pPr>
            <w:r>
              <w:rPr>
                <w:sz w:val="18"/>
              </w:rPr>
              <w:t>Créer une branche H3-QED explicitement liée au mécanisme électronique/EM du papier.</w:t>
            </w:r>
          </w:p>
        </w:tc>
        <w:tc>
          <w:tcPr>
            <w:tcW w:type="dxa" w:w="3331"/>
            <w:vAlign w:val="top"/>
            <w:tcMar>
              <w:top w:w="80" w:type="dxa"/>
              <w:start w:w="90" w:type="dxa"/>
              <w:bottom w:w="80" w:type="dxa"/>
              <w:end w:w="90" w:type="dxa"/>
            </w:tcMar>
          </w:tcPr>
          <w:p>
            <w:pPr>
              <w:spacing w:after="0"/>
            </w:pPr>
            <w:r>
              <w:rPr>
                <w:sz w:val="18"/>
              </w:rPr>
              <w:t>La preuve doit être spécifique au mécanisme et non seulement « quantique » au sens large.</w:t>
            </w:r>
          </w:p>
        </w:tc>
      </w:tr>
      <w:tr>
        <w:trPr>
          <w:cantSplit/>
        </w:trPr>
        <w:tc>
          <w:tcPr>
            <w:tcW w:type="dxa" w:w="3331"/>
            <w:vAlign w:val="top"/>
            <w:tcMar>
              <w:top w:w="80" w:type="dxa"/>
              <w:start w:w="90" w:type="dxa"/>
              <w:bottom w:w="80" w:type="dxa"/>
              <w:end w:w="90" w:type="dxa"/>
            </w:tcMar>
          </w:tcPr>
          <w:p>
            <w:pPr>
              <w:spacing w:after="0"/>
            </w:pPr>
            <w:r>
              <w:rPr>
                <w:sz w:val="18"/>
              </w:rPr>
              <w:t>Usage du mot « phase »</w:t>
            </w:r>
          </w:p>
        </w:tc>
        <w:tc>
          <w:tcPr>
            <w:tcW w:type="dxa" w:w="3331"/>
            <w:vAlign w:val="top"/>
            <w:tcMar>
              <w:top w:w="80" w:type="dxa"/>
              <w:start w:w="90" w:type="dxa"/>
              <w:bottom w:w="80" w:type="dxa"/>
              <w:end w:w="90" w:type="dxa"/>
            </w:tcMar>
          </w:tcPr>
          <w:p>
            <w:pPr>
              <w:spacing w:after="0"/>
            </w:pPr>
            <w:r>
              <w:rPr>
                <w:sz w:val="18"/>
              </w:rPr>
              <w:t>Distinguer composante/fraction/domaines du statut strict de phase thermodynamique.</w:t>
            </w:r>
          </w:p>
        </w:tc>
        <w:tc>
          <w:tcPr>
            <w:tcW w:type="dxa" w:w="3331"/>
            <w:vAlign w:val="top"/>
            <w:tcMar>
              <w:top w:w="80" w:type="dxa"/>
              <w:start w:w="90" w:type="dxa"/>
              <w:bottom w:w="80" w:type="dxa"/>
              <w:end w:w="90" w:type="dxa"/>
            </w:tcMar>
          </w:tcPr>
          <w:p>
            <w:pPr>
              <w:spacing w:after="0"/>
            </w:pPr>
            <w:r>
              <w:rPr>
                <w:sz w:val="18"/>
              </w:rPr>
              <w:t>Une H3-QED peut être vraie sans que H4 « nouvelle branche thermodynamique » soit démontrée.</w:t>
            </w:r>
          </w:p>
        </w:tc>
      </w:tr>
    </w:tbl>
    <w:p/>
    <w:p>
      <w:pPr>
        <w:pStyle w:val="Heading1"/>
      </w:pPr>
      <w:r>
        <w:t>5. Architecture révisée des hypothèses</w:t>
      </w:r>
    </w:p>
    <w:tbl>
      <w:tblPr>
        <w:tblW w:type="auto" w:w="0"/>
        <w:jc w:val="center"/>
        <w:tblLayout w:type="autofit"/>
        <w:tblLook w:firstColumn="1" w:firstRow="1" w:lastColumn="0" w:lastRow="0" w:noHBand="0" w:noVBand="1" w:val="04A0"/>
      </w:tblPr>
      <w:tblGrid>
        <w:gridCol w:w="9994"/>
      </w:tblGrid>
      <w:tr>
        <w:trPr>
          <w:cantSplit/>
          <w:tblHeader/>
        </w:trPr>
        <w:tc>
          <w:tcPr>
            <w:tcW w:type="dxa" w:w="9994"/>
            <w:shd w:fill="F3EFE5"/>
            <w:tcMar>
              <w:top w:w="140" w:type="dxa"/>
              <w:start w:w="180" w:type="dxa"/>
              <w:bottom w:w="140" w:type="dxa"/>
              <w:end w:w="180" w:type="dxa"/>
            </w:tcMar>
          </w:tcPr>
          <w:p>
            <w:pPr>
              <w:pStyle w:val="Callout"/>
            </w:pPr>
            <w:r>
              <w:rPr>
                <w:b/>
              </w:rPr>
              <w:t>Axe organisationnel : S/C → D/ξ → τ → A → F</w:t>
            </w:r>
          </w:p>
        </w:tc>
      </w:tr>
    </w:tbl>
    <w:p/>
    <w:p>
      <w:r>
        <w:t>Cet axe reste neutre quant à la nature quantique du collectif.</w:t>
      </w:r>
    </w:p>
    <w:tbl>
      <w:tblPr>
        <w:tblW w:type="auto" w:w="0"/>
        <w:jc w:val="center"/>
        <w:tblLayout w:type="autofit"/>
        <w:tblLook w:firstColumn="1" w:firstRow="1" w:lastColumn="0" w:lastRow="0" w:noHBand="0" w:noVBand="1" w:val="04A0"/>
      </w:tblPr>
      <w:tblGrid>
        <w:gridCol w:w="9994"/>
      </w:tblGrid>
      <w:tr>
        <w:trPr>
          <w:cantSplit/>
          <w:tblHeader/>
        </w:trPr>
        <w:tc>
          <w:tcPr>
            <w:tcW w:type="dxa" w:w="9994"/>
            <w:shd w:fill="F3EFE5"/>
            <w:tcMar>
              <w:top w:w="140" w:type="dxa"/>
              <w:start w:w="180" w:type="dxa"/>
              <w:bottom w:w="140" w:type="dxa"/>
              <w:end w:w="180" w:type="dxa"/>
            </w:tcMar>
          </w:tcPr>
          <w:p>
            <w:pPr>
              <w:pStyle w:val="Callout"/>
            </w:pPr>
            <w:r>
              <w:rPr>
                <w:b/>
              </w:rPr>
              <w:t>Axe physique branché :</w:t>
            </w:r>
            <w:r>
              <w:br/>
            </w:r>
            <w:r>
              <w:t>• branche C : collectif classique / semi-classique</w:t>
            </w:r>
            <w:r>
              <w:br/>
            </w:r>
            <w:r>
              <w:t>• branche N : effets quantiques nucléaires</w:t>
            </w:r>
            <w:r>
              <w:br/>
            </w:r>
            <w:r>
              <w:t>• branche Q : cohérence électronique / électromagnétique collective (QED)</w:t>
            </w:r>
            <w:r>
              <w:br/>
            </w:r>
            <w:r>
              <w:t>• branche E : intrication éventuelle, à traiter séparément</w:t>
            </w:r>
          </w:p>
        </w:tc>
      </w:tr>
    </w:tbl>
    <w:p/>
    <w:p>
      <w:r>
        <w:t>La théorie De Ninno–Gamberale se situe principalement sur la branche Q. Elle ne découle ni d’une BEC moléculaire ni d’un simple renforcement des effets quantiques nucléaires.</w:t>
      </w:r>
    </w:p>
    <w:p>
      <w:pPr>
        <w:pStyle w:val="Heading1"/>
      </w:pPr>
      <w:r>
        <w:t>6. Hiérarchie de preuve révisée</w:t>
      </w:r>
    </w:p>
    <w:tbl>
      <w:tblPr>
        <w:tblStyle w:val="TableGrid"/>
        <w:tblW w:type="auto" w:w="0"/>
        <w:jc w:val="center"/>
        <w:tblLook w:firstColumn="1" w:firstRow="1" w:lastColumn="0" w:lastRow="0" w:noHBand="0" w:noVBand="1" w:val="04A0"/>
      </w:tblPr>
      <w:tblGrid>
        <w:gridCol w:w="3331"/>
        <w:gridCol w:w="3331"/>
        <w:gridCol w:w="3331"/>
      </w:tblGrid>
      <w:tr>
        <w:trPr>
          <w:cantSplit/>
          <w:tblHeader/>
        </w:trPr>
        <w:tc>
          <w:tcPr>
            <w:tcW w:type="dxa" w:w="3331"/>
            <w:vAlign w:val="top"/>
            <w:tcMar>
              <w:top w:w="80" w:type="dxa"/>
              <w:start w:w="90" w:type="dxa"/>
              <w:bottom w:w="80" w:type="dxa"/>
              <w:end w:w="90" w:type="dxa"/>
            </w:tcMar>
            <w:shd w:fill="E8EFEC"/>
          </w:tcPr>
          <w:p>
            <w:pPr>
              <w:spacing w:after="0"/>
            </w:pPr>
            <w:r>
              <w:rPr>
                <w:b/>
                <w:sz w:val="18"/>
              </w:rPr>
              <w:t>Niveau</w:t>
            </w:r>
          </w:p>
        </w:tc>
        <w:tc>
          <w:tcPr>
            <w:tcW w:type="dxa" w:w="3331"/>
            <w:vAlign w:val="top"/>
            <w:tcMar>
              <w:top w:w="80" w:type="dxa"/>
              <w:start w:w="90" w:type="dxa"/>
              <w:bottom w:w="80" w:type="dxa"/>
              <w:end w:w="90" w:type="dxa"/>
            </w:tcMar>
            <w:shd w:fill="E8EFEC"/>
          </w:tcPr>
          <w:p>
            <w:pPr>
              <w:spacing w:after="0"/>
            </w:pPr>
            <w:r>
              <w:rPr>
                <w:b/>
                <w:sz w:val="18"/>
              </w:rPr>
              <w:t>Hypothèse</w:t>
            </w:r>
          </w:p>
        </w:tc>
        <w:tc>
          <w:tcPr>
            <w:tcW w:type="dxa" w:w="3331"/>
            <w:vAlign w:val="top"/>
            <w:tcMar>
              <w:top w:w="80" w:type="dxa"/>
              <w:start w:w="90" w:type="dxa"/>
              <w:bottom w:w="80" w:type="dxa"/>
              <w:end w:w="90" w:type="dxa"/>
            </w:tcMar>
            <w:shd w:fill="E8EFEC"/>
          </w:tcPr>
          <w:p>
            <w:pPr>
              <w:spacing w:after="0"/>
            </w:pPr>
            <w:r>
              <w:rPr>
                <w:b/>
                <w:sz w:val="18"/>
              </w:rPr>
              <w:t>Test discriminant minimal</w:t>
            </w:r>
          </w:p>
        </w:tc>
      </w:tr>
      <w:tr>
        <w:trPr>
          <w:cantSplit/>
        </w:trPr>
        <w:tc>
          <w:tcPr>
            <w:tcW w:type="dxa" w:w="3331"/>
            <w:vAlign w:val="top"/>
            <w:tcMar>
              <w:top w:w="80" w:type="dxa"/>
              <w:start w:w="90" w:type="dxa"/>
              <w:bottom w:w="80" w:type="dxa"/>
              <w:end w:w="90" w:type="dxa"/>
            </w:tcMar>
          </w:tcPr>
          <w:p>
            <w:pPr>
              <w:spacing w:after="0"/>
            </w:pPr>
            <w:r>
              <w:rPr>
                <w:sz w:val="18"/>
              </w:rPr>
              <w:t>H0</w:t>
            </w:r>
          </w:p>
        </w:tc>
        <w:tc>
          <w:tcPr>
            <w:tcW w:type="dxa" w:w="3331"/>
            <w:vAlign w:val="top"/>
            <w:tcMar>
              <w:top w:w="80" w:type="dxa"/>
              <w:start w:w="90" w:type="dxa"/>
              <w:bottom w:w="80" w:type="dxa"/>
              <w:end w:w="90" w:type="dxa"/>
            </w:tcMar>
          </w:tcPr>
          <w:p>
            <w:pPr>
              <w:spacing w:after="0"/>
            </w:pPr>
            <w:r>
              <w:rPr>
                <w:sz w:val="18"/>
              </w:rPr>
              <w:t>L’eau conventionnelle, avec interactions connues et modèles moléculaires/électroniques réalistes, suffit.</w:t>
            </w:r>
          </w:p>
        </w:tc>
        <w:tc>
          <w:tcPr>
            <w:tcW w:type="dxa" w:w="3331"/>
            <w:vAlign w:val="top"/>
            <w:tcMar>
              <w:top w:w="80" w:type="dxa"/>
              <w:start w:w="90" w:type="dxa"/>
              <w:bottom w:w="80" w:type="dxa"/>
              <w:end w:w="90" w:type="dxa"/>
            </w:tcMar>
          </w:tcPr>
          <w:p>
            <w:pPr>
              <w:spacing w:after="0"/>
            </w:pPr>
            <w:r>
              <w:rPr>
                <w:sz w:val="18"/>
              </w:rPr>
              <w:t>Reproduire les anomalies et les signatures ciblées sans variable QED supplémentaire.</w:t>
            </w:r>
          </w:p>
        </w:tc>
      </w:tr>
      <w:tr>
        <w:trPr>
          <w:cantSplit/>
        </w:trPr>
        <w:tc>
          <w:tcPr>
            <w:tcW w:type="dxa" w:w="3331"/>
            <w:vAlign w:val="top"/>
            <w:tcMar>
              <w:top w:w="80" w:type="dxa"/>
              <w:start w:w="90" w:type="dxa"/>
              <w:bottom w:w="80" w:type="dxa"/>
              <w:end w:w="90" w:type="dxa"/>
            </w:tcMar>
          </w:tcPr>
          <w:p>
            <w:pPr>
              <w:spacing w:after="0"/>
            </w:pPr>
            <w:r>
              <w:rPr>
                <w:sz w:val="18"/>
              </w:rPr>
              <w:t>H1</w:t>
            </w:r>
          </w:p>
        </w:tc>
        <w:tc>
          <w:tcPr>
            <w:tcW w:type="dxa" w:w="3331"/>
            <w:vAlign w:val="top"/>
            <w:tcMar>
              <w:top w:w="80" w:type="dxa"/>
              <w:start w:w="90" w:type="dxa"/>
              <w:bottom w:w="80" w:type="dxa"/>
              <w:end w:w="90" w:type="dxa"/>
            </w:tcMar>
          </w:tcPr>
          <w:p>
            <w:pPr>
              <w:spacing w:after="0"/>
            </w:pPr>
            <w:r>
              <w:rPr>
                <w:sz w:val="18"/>
              </w:rPr>
              <w:t>Il existe une organisation collective / deux-structures / crossover classique ou semi-classique.</w:t>
            </w:r>
          </w:p>
        </w:tc>
        <w:tc>
          <w:tcPr>
            <w:tcW w:type="dxa" w:w="3331"/>
            <w:vAlign w:val="top"/>
            <w:tcMar>
              <w:top w:w="80" w:type="dxa"/>
              <w:start w:w="90" w:type="dxa"/>
              <w:bottom w:w="80" w:type="dxa"/>
              <w:end w:w="90" w:type="dxa"/>
            </w:tcMar>
          </w:tcPr>
          <w:p>
            <w:pPr>
              <w:spacing w:after="0"/>
            </w:pPr>
            <w:r>
              <w:rPr>
                <w:sz w:val="18"/>
              </w:rPr>
              <w:t>D, ξ, τ et structure convergent, sans nécessité d’une cohérence électronique collective.</w:t>
            </w:r>
          </w:p>
        </w:tc>
      </w:tr>
      <w:tr>
        <w:trPr>
          <w:cantSplit/>
        </w:trPr>
        <w:tc>
          <w:tcPr>
            <w:tcW w:type="dxa" w:w="3331"/>
            <w:vAlign w:val="top"/>
            <w:tcMar>
              <w:top w:w="80" w:type="dxa"/>
              <w:start w:w="90" w:type="dxa"/>
              <w:bottom w:w="80" w:type="dxa"/>
              <w:end w:w="90" w:type="dxa"/>
            </w:tcMar>
          </w:tcPr>
          <w:p>
            <w:pPr>
              <w:spacing w:after="0"/>
            </w:pPr>
            <w:r>
              <w:rPr>
                <w:sz w:val="18"/>
              </w:rPr>
              <w:t>H2-N</w:t>
            </w:r>
          </w:p>
        </w:tc>
        <w:tc>
          <w:tcPr>
            <w:tcW w:type="dxa" w:w="3331"/>
            <w:vAlign w:val="top"/>
            <w:tcMar>
              <w:top w:w="80" w:type="dxa"/>
              <w:start w:w="90" w:type="dxa"/>
              <w:bottom w:w="80" w:type="dxa"/>
              <w:end w:w="90" w:type="dxa"/>
            </w:tcMar>
          </w:tcPr>
          <w:p>
            <w:pPr>
              <w:spacing w:after="0"/>
            </w:pPr>
            <w:r>
              <w:rPr>
                <w:sz w:val="18"/>
              </w:rPr>
              <w:t>Les effets quantiques nucléaires modifient substantiellement le régime collectif.</w:t>
            </w:r>
          </w:p>
        </w:tc>
        <w:tc>
          <w:tcPr>
            <w:tcW w:type="dxa" w:w="3331"/>
            <w:vAlign w:val="top"/>
            <w:tcMar>
              <w:top w:w="80" w:type="dxa"/>
              <w:start w:w="90" w:type="dxa"/>
              <w:bottom w:w="80" w:type="dxa"/>
              <w:end w:w="90" w:type="dxa"/>
            </w:tcMar>
          </w:tcPr>
          <w:p>
            <w:pPr>
              <w:spacing w:after="0"/>
            </w:pPr>
            <w:r>
              <w:rPr>
                <w:sz w:val="18"/>
              </w:rPr>
              <w:t>Comparaison classique / path-integral + H₂O / D₂O avec contrôles appropriés.</w:t>
            </w:r>
          </w:p>
        </w:tc>
      </w:tr>
      <w:tr>
        <w:trPr>
          <w:cantSplit/>
        </w:trPr>
        <w:tc>
          <w:tcPr>
            <w:tcW w:type="dxa" w:w="3331"/>
            <w:vAlign w:val="top"/>
            <w:tcMar>
              <w:top w:w="80" w:type="dxa"/>
              <w:start w:w="90" w:type="dxa"/>
              <w:bottom w:w="80" w:type="dxa"/>
              <w:end w:w="90" w:type="dxa"/>
            </w:tcMar>
          </w:tcPr>
          <w:p>
            <w:pPr>
              <w:spacing w:after="0"/>
            </w:pPr>
            <w:r>
              <w:rPr>
                <w:sz w:val="18"/>
              </w:rPr>
              <w:t>H3-QED</w:t>
            </w:r>
          </w:p>
        </w:tc>
        <w:tc>
          <w:tcPr>
            <w:tcW w:type="dxa" w:w="3331"/>
            <w:vAlign w:val="top"/>
            <w:tcMar>
              <w:top w:w="80" w:type="dxa"/>
              <w:start w:w="90" w:type="dxa"/>
              <w:bottom w:w="80" w:type="dxa"/>
              <w:end w:w="90" w:type="dxa"/>
            </w:tcMar>
          </w:tcPr>
          <w:p>
            <w:pPr>
              <w:spacing w:after="0"/>
            </w:pPr>
            <w:r>
              <w:rPr>
                <w:sz w:val="18"/>
              </w:rPr>
              <w:t>Une cohérence électronique / électromagnétique collective de type De Ninno–Gamberale est nécessaire.</w:t>
            </w:r>
          </w:p>
        </w:tc>
        <w:tc>
          <w:tcPr>
            <w:tcW w:type="dxa" w:w="3331"/>
            <w:vAlign w:val="top"/>
            <w:tcMar>
              <w:top w:w="80" w:type="dxa"/>
              <w:start w:w="90" w:type="dxa"/>
              <w:bottom w:w="80" w:type="dxa"/>
              <w:end w:w="90" w:type="dxa"/>
            </w:tcMar>
          </w:tcPr>
          <w:p>
            <w:pPr>
              <w:spacing w:after="0"/>
            </w:pPr>
            <w:r>
              <w:rPr>
                <w:sz w:val="18"/>
              </w:rPr>
              <w:t>Signature propre au mécanisme : échelle CD + réponse électronique/diélectrique + champ E + prédictions hors ajustement.</w:t>
            </w:r>
          </w:p>
        </w:tc>
      </w:tr>
      <w:tr>
        <w:trPr>
          <w:cantSplit/>
        </w:trPr>
        <w:tc>
          <w:tcPr>
            <w:tcW w:type="dxa" w:w="3331"/>
            <w:vAlign w:val="top"/>
            <w:tcMar>
              <w:top w:w="80" w:type="dxa"/>
              <w:start w:w="90" w:type="dxa"/>
              <w:bottom w:w="80" w:type="dxa"/>
              <w:end w:w="90" w:type="dxa"/>
            </w:tcMar>
          </w:tcPr>
          <w:p>
            <w:pPr>
              <w:spacing w:after="0"/>
            </w:pPr>
            <w:r>
              <w:rPr>
                <w:sz w:val="18"/>
              </w:rPr>
              <w:t>H4</w:t>
            </w:r>
          </w:p>
        </w:tc>
        <w:tc>
          <w:tcPr>
            <w:tcW w:type="dxa" w:w="3331"/>
            <w:vAlign w:val="top"/>
            <w:tcMar>
              <w:top w:w="80" w:type="dxa"/>
              <w:start w:w="90" w:type="dxa"/>
              <w:bottom w:w="80" w:type="dxa"/>
              <w:end w:w="90" w:type="dxa"/>
            </w:tcMar>
          </w:tcPr>
          <w:p>
            <w:pPr>
              <w:spacing w:after="0"/>
            </w:pPr>
            <w:r>
              <w:rPr>
                <w:sz w:val="18"/>
              </w:rPr>
              <w:t>Une branche ou phase thermodynamique distincte est nécessaire au sens strict.</w:t>
            </w:r>
          </w:p>
        </w:tc>
        <w:tc>
          <w:tcPr>
            <w:tcW w:type="dxa" w:w="3331"/>
            <w:vAlign w:val="top"/>
            <w:tcMar>
              <w:top w:w="80" w:type="dxa"/>
              <w:start w:w="90" w:type="dxa"/>
              <w:bottom w:w="80" w:type="dxa"/>
              <w:end w:w="90" w:type="dxa"/>
            </w:tcMar>
          </w:tcPr>
          <w:p>
            <w:pPr>
              <w:spacing w:after="0"/>
            </w:pPr>
            <w:r>
              <w:rPr>
                <w:sz w:val="18"/>
              </w:rPr>
              <w:t>Paysage de libre énergie, coexistence/transition et observables indépendantes non réductibles à un crossover.</w:t>
            </w:r>
          </w:p>
        </w:tc>
      </w:tr>
    </w:tbl>
    <w:p/>
    <w:p>
      <w:pPr>
        <w:pStyle w:val="Heading1"/>
      </w:pPr>
      <w:r>
        <w:t>7. Six points de confrontation décisifs</w:t>
      </w:r>
    </w:p>
    <w:p>
      <w:pPr>
        <w:pStyle w:val="Heading2"/>
      </w:pPr>
      <w:r>
        <w:t>7.1. La fraction cohérente n’est plus un α(T) arbitraire</w:t>
      </w:r>
    </w:p>
    <w:p>
      <w:r>
        <w:t>Dans le papier, la fraction cohérente est obtenue par des équations couplées imposant l’égalité du potentiel chimique et de la pression à la frontière des domaines. C’est une amélioration majeure par rapport au raccourci de CODA ATER I. La question critique devient : existe-t-il une mesure indépendante de ϕvol(T) ou ϕmol(T), ou cette fraction n’existe-t-elle qu’en tant que variable latente du modèle ?</w:t>
      </w:r>
    </w:p>
    <w:p>
      <w:pPr>
        <w:pStyle w:val="Heading2"/>
      </w:pPr>
      <w:r>
        <w:t>7.2. Une échelle spatiale annoncée doit produire une signature d’échelle</w:t>
      </w:r>
    </w:p>
    <w:p>
      <w:r>
        <w:t>Le papier associe les CDs à des dizaines de nanomètres et interprète plusieurs anomalies de confinement sous ~100 nm comme compatibles avec cette structuration. Une vraie prédiction forte serait l’existence d’une échelle caractéristique reproductible et commune à plusieurs observables, plutôt qu’une simple sensibilité monotone au confinement.</w:t>
      </w:r>
    </w:p>
    <w:p>
      <w:pPr>
        <w:pStyle w:val="Heading2"/>
      </w:pPr>
      <w:r>
        <w:t>7.3. Le champ électrique devient un test causal</w:t>
      </w:r>
    </w:p>
    <w:p>
      <w:r>
        <w:t>La théorie prédit qu’un champ statique intense favorise la composante cohérente en raison de sa forte polarisabilité. Le champ E doit donc être traité comme une perturbation contrôlée permettant de tester une réponse directionnelle du modèle, et non seulement comme une corrélation supplémentaire.</w:t>
      </w:r>
    </w:p>
    <w:p>
      <w:pPr>
        <w:pStyle w:val="Heading2"/>
      </w:pPr>
      <w:r>
        <w:t>7.4. La réponse diélectrique doit être testée hors ajustement</w:t>
      </w:r>
    </w:p>
    <w:p>
      <w:r>
        <w:t>Le papier obtient une susceptibilité cohérente élevée et une constante diélectrique totale par mélange des contributions cohérente et incohérente. Puisque plusieurs paramètres sont optimisés sur des données thermodynamiques et diélectriques, le test le plus informatif est une prédiction nouvelle ou un jeu de données tenu hors de l’ajustement.</w:t>
      </w:r>
    </w:p>
    <w:p>
      <w:pPr>
        <w:pStyle w:val="Heading2"/>
      </w:pPr>
      <w:r>
        <w:t>7.5. « First principles » et implémentation phénoménologique doivent être distingués</w:t>
      </w:r>
    </w:p>
    <w:p>
      <w:r>
        <w:t>Le papier revendique une fondation QED de premiers principes, mais l’implémentation thermodynamique emploie aussi des paramètres ajustés, une phase incohérente van der Waals reconnue comme grossière et une approximation d’oscillateur harmonique pour une partie de la réponse électronique. Cela n’invalide pas le cadre ; cela interdit simplement de traiter toutes ses prédictions comme des sorties sans paramètres.</w:t>
      </w:r>
    </w:p>
    <w:p>
      <w:pPr>
        <w:pStyle w:val="Heading2"/>
      </w:pPr>
      <w:r>
        <w:t>7.6. Aucune preuve directe des CDs : c’est la cible centrale</w:t>
      </w:r>
    </w:p>
    <w:p>
      <w:r>
        <w:t>Les auteurs écrivent explicitement qu’aucune preuve expérimentale directe des domaines de cohérence n’a encore été obtenue. Les observations de confinement et de structure sont donc des compatibilités, pas des identifications. CODA ATER v2.1 doit chercher la signature que des modèles non-QED ne peuvent pas reproduire avec la même économie d’hypothèses.</w:t>
      </w:r>
    </w:p>
    <w:p>
      <w:pPr>
        <w:pStyle w:val="Heading1"/>
      </w:pPr>
      <w:r>
        <w:t>8. Point critique : conversion du champ biologique</w:t>
      </w:r>
    </w:p>
    <w:p>
      <w:r>
        <w:t>Dans le passage consacré aux interfaces biologiques, le papier rapproche des champs membranaires donnés comme ~10⁵ V/m de la plage d’électrofreezing 0,10–0,15 V Å⁻¹ et écrit que 10⁵ V/m correspond à 0,1 V Å⁻¹.</w:t>
      </w:r>
    </w:p>
    <w:tbl>
      <w:tblPr>
        <w:tblW w:type="auto" w:w="0"/>
        <w:jc w:val="center"/>
        <w:tblLayout w:type="autofit"/>
        <w:tblLook w:firstColumn="1" w:firstRow="1" w:lastColumn="0" w:lastRow="0" w:noHBand="0" w:noVBand="1" w:val="04A0"/>
      </w:tblPr>
      <w:tblGrid>
        <w:gridCol w:w="9994"/>
      </w:tblGrid>
      <w:tr>
        <w:trPr>
          <w:cantSplit/>
          <w:tblHeader/>
        </w:trPr>
        <w:tc>
          <w:tcPr>
            <w:tcW w:type="dxa" w:w="9994"/>
            <w:shd w:fill="F3EFE5"/>
            <w:tcMar>
              <w:top w:w="140" w:type="dxa"/>
              <w:start w:w="180" w:type="dxa"/>
              <w:bottom w:w="140" w:type="dxa"/>
              <w:end w:w="180" w:type="dxa"/>
            </w:tcMar>
          </w:tcPr>
          <w:p>
            <w:pPr>
              <w:pStyle w:val="Callout"/>
            </w:pPr>
            <w:r>
              <w:rPr>
                <w:b/>
              </w:rPr>
              <w:t>Conversion dimensionnelle : 1 Å = 10⁻¹⁰ m, donc 1 V Å⁻¹ = 10¹⁰ V/m. Par conséquent :</w:t>
            </w:r>
            <w:r>
              <w:br/>
            </w:r>
            <w:r>
              <w:t>0,1 V Å⁻¹ = 10⁹ V/m</w:t>
            </w:r>
            <w:r>
              <w:br/>
            </w:r>
            <w:r>
              <w:t>et</w:t>
            </w:r>
            <w:r>
              <w:br/>
            </w:r>
            <w:r>
              <w:t>10⁵ V/m = 10⁻⁵ V Å⁻¹.</w:t>
            </w:r>
          </w:p>
        </w:tc>
      </w:tr>
    </w:tbl>
    <w:p/>
    <w:p>
      <w:r>
        <w:t>Le rapprochement numérique tel qu’il est écrit comporte donc un écart d’un facteur 10⁴. Cela ne réfute pas la théorie QED de l’eau ; cela invalide seulement ce pont numérique précis entre le champ biologique cité et le seuil d’électrofreezing cité. Toute extension biologique doit être réévaluée séparément.</w:t>
      </w:r>
    </w:p>
    <w:p>
      <w:pPr>
        <w:pStyle w:val="Heading1"/>
      </w:pPr>
      <w:r>
        <w:t>9. Programme de falsification v2.1</w:t>
      </w:r>
    </w:p>
    <w:tbl>
      <w:tblPr>
        <w:tblStyle w:val="TableGrid"/>
        <w:tblW w:type="auto" w:w="0"/>
        <w:jc w:val="center"/>
        <w:tblLook w:firstColumn="1" w:firstRow="1" w:lastColumn="0" w:lastRow="0" w:noHBand="0" w:noVBand="1" w:val="04A0"/>
      </w:tblPr>
      <w:tblGrid>
        <w:gridCol w:w="2498"/>
        <w:gridCol w:w="2498"/>
        <w:gridCol w:w="2498"/>
        <w:gridCol w:w="2498"/>
      </w:tblGrid>
      <w:tr>
        <w:trPr>
          <w:cantSplit/>
          <w:tblHeader/>
        </w:trPr>
        <w:tc>
          <w:tcPr>
            <w:tcW w:type="dxa" w:w="2498"/>
            <w:vAlign w:val="top"/>
            <w:tcMar>
              <w:top w:w="80" w:type="dxa"/>
              <w:start w:w="90" w:type="dxa"/>
              <w:bottom w:w="80" w:type="dxa"/>
              <w:end w:w="90" w:type="dxa"/>
            </w:tcMar>
            <w:shd w:fill="E8EFEC"/>
          </w:tcPr>
          <w:p>
            <w:pPr>
              <w:spacing w:after="0"/>
            </w:pPr>
            <w:r>
              <w:rPr>
                <w:b/>
                <w:sz w:val="17"/>
              </w:rPr>
              <w:t>Test</w:t>
            </w:r>
          </w:p>
        </w:tc>
        <w:tc>
          <w:tcPr>
            <w:tcW w:type="dxa" w:w="2498"/>
            <w:vAlign w:val="top"/>
            <w:tcMar>
              <w:top w:w="80" w:type="dxa"/>
              <w:start w:w="90" w:type="dxa"/>
              <w:bottom w:w="80" w:type="dxa"/>
              <w:end w:w="90" w:type="dxa"/>
            </w:tcMar>
            <w:shd w:fill="E8EFEC"/>
          </w:tcPr>
          <w:p>
            <w:pPr>
              <w:spacing w:after="0"/>
            </w:pPr>
            <w:r>
              <w:rPr>
                <w:b/>
                <w:sz w:val="17"/>
              </w:rPr>
              <w:t>Mesure / calcul</w:t>
            </w:r>
          </w:p>
        </w:tc>
        <w:tc>
          <w:tcPr>
            <w:tcW w:type="dxa" w:w="2498"/>
            <w:vAlign w:val="top"/>
            <w:tcMar>
              <w:top w:w="80" w:type="dxa"/>
              <w:start w:w="90" w:type="dxa"/>
              <w:bottom w:w="80" w:type="dxa"/>
              <w:end w:w="90" w:type="dxa"/>
            </w:tcMar>
            <w:shd w:fill="E8EFEC"/>
          </w:tcPr>
          <w:p>
            <w:pPr>
              <w:spacing w:after="0"/>
            </w:pPr>
            <w:r>
              <w:rPr>
                <w:b/>
                <w:sz w:val="17"/>
              </w:rPr>
              <w:t>Ce qui renforcerait H3-QED</w:t>
            </w:r>
          </w:p>
        </w:tc>
        <w:tc>
          <w:tcPr>
            <w:tcW w:type="dxa" w:w="2498"/>
            <w:vAlign w:val="top"/>
            <w:tcMar>
              <w:top w:w="80" w:type="dxa"/>
              <w:start w:w="90" w:type="dxa"/>
              <w:bottom w:w="80" w:type="dxa"/>
              <w:end w:w="90" w:type="dxa"/>
            </w:tcMar>
            <w:shd w:fill="E8EFEC"/>
          </w:tcPr>
          <w:p>
            <w:pPr>
              <w:spacing w:after="0"/>
            </w:pPr>
            <w:r>
              <w:rPr>
                <w:b/>
                <w:sz w:val="17"/>
              </w:rPr>
              <w:t>Ce qui l’affaiblirait</w:t>
            </w:r>
          </w:p>
        </w:tc>
      </w:tr>
      <w:tr>
        <w:trPr>
          <w:cantSplit/>
        </w:trPr>
        <w:tc>
          <w:tcPr>
            <w:tcW w:type="dxa" w:w="2498"/>
            <w:vAlign w:val="top"/>
            <w:tcMar>
              <w:top w:w="80" w:type="dxa"/>
              <w:start w:w="90" w:type="dxa"/>
              <w:bottom w:w="80" w:type="dxa"/>
              <w:end w:w="90" w:type="dxa"/>
            </w:tcMar>
          </w:tcPr>
          <w:p>
            <w:pPr>
              <w:spacing w:after="0"/>
            </w:pPr>
            <w:r>
              <w:rPr>
                <w:sz w:val="17"/>
              </w:rPr>
              <w:t>T1 — Échelle</w:t>
            </w:r>
          </w:p>
        </w:tc>
        <w:tc>
          <w:tcPr>
            <w:tcW w:type="dxa" w:w="2498"/>
            <w:vAlign w:val="top"/>
            <w:tcMar>
              <w:top w:w="80" w:type="dxa"/>
              <w:start w:w="90" w:type="dxa"/>
              <w:bottom w:w="80" w:type="dxa"/>
              <w:end w:w="90" w:type="dxa"/>
            </w:tcMar>
          </w:tcPr>
          <w:p>
            <w:pPr>
              <w:spacing w:after="0"/>
            </w:pPr>
            <w:r>
              <w:rPr>
                <w:sz w:val="17"/>
              </w:rPr>
              <w:t>Confinement contrôlé avec taille balayée de part et d’autre de 30–100 nm ; suivre plusieurs observables.</w:t>
            </w:r>
          </w:p>
        </w:tc>
        <w:tc>
          <w:tcPr>
            <w:tcW w:type="dxa" w:w="2498"/>
            <w:vAlign w:val="top"/>
            <w:tcMar>
              <w:top w:w="80" w:type="dxa"/>
              <w:start w:w="90" w:type="dxa"/>
              <w:bottom w:w="80" w:type="dxa"/>
              <w:end w:w="90" w:type="dxa"/>
            </w:tcMar>
          </w:tcPr>
          <w:p>
            <w:pPr>
              <w:spacing w:after="0"/>
            </w:pPr>
            <w:r>
              <w:rPr>
                <w:sz w:val="17"/>
              </w:rPr>
              <w:t>Un même seuil d’échelle apparaît de façon coordonnée dans diélectrique, diffusion, spectre/structure.</w:t>
            </w:r>
          </w:p>
        </w:tc>
        <w:tc>
          <w:tcPr>
            <w:tcW w:type="dxa" w:w="2498"/>
            <w:vAlign w:val="top"/>
            <w:tcMar>
              <w:top w:w="80" w:type="dxa"/>
              <w:start w:w="90" w:type="dxa"/>
              <w:bottom w:w="80" w:type="dxa"/>
              <w:end w:w="90" w:type="dxa"/>
            </w:tcMar>
          </w:tcPr>
          <w:p>
            <w:pPr>
              <w:spacing w:after="0"/>
            </w:pPr>
            <w:r>
              <w:rPr>
                <w:sz w:val="17"/>
              </w:rPr>
              <w:t>Réponses lisses ou dépendantes uniquement de la surface/géométrie sans longueur caractéristique commune.</w:t>
            </w:r>
          </w:p>
        </w:tc>
      </w:tr>
      <w:tr>
        <w:trPr>
          <w:cantSplit/>
        </w:trPr>
        <w:tc>
          <w:tcPr>
            <w:tcW w:type="dxa" w:w="2498"/>
            <w:vAlign w:val="top"/>
            <w:tcMar>
              <w:top w:w="80" w:type="dxa"/>
              <w:start w:w="90" w:type="dxa"/>
              <w:bottom w:w="80" w:type="dxa"/>
              <w:end w:w="90" w:type="dxa"/>
            </w:tcMar>
          </w:tcPr>
          <w:p>
            <w:pPr>
              <w:spacing w:after="0"/>
            </w:pPr>
            <w:r>
              <w:rPr>
                <w:sz w:val="17"/>
              </w:rPr>
              <w:t>T2 — Champ E</w:t>
            </w:r>
          </w:p>
        </w:tc>
        <w:tc>
          <w:tcPr>
            <w:tcW w:type="dxa" w:w="2498"/>
            <w:vAlign w:val="top"/>
            <w:tcMar>
              <w:top w:w="80" w:type="dxa"/>
              <w:start w:w="90" w:type="dxa"/>
              <w:bottom w:w="80" w:type="dxa"/>
              <w:end w:w="90" w:type="dxa"/>
            </w:tcMar>
          </w:tcPr>
          <w:p>
            <w:pPr>
              <w:spacing w:after="0"/>
            </w:pPr>
            <w:r>
              <w:rPr>
                <w:sz w:val="17"/>
              </w:rPr>
              <w:t>Simulations ab initio / expériences compatibles, E croissant ; mesurer structure, mobilité, diélectrique et estimateurs de cohérence.</w:t>
            </w:r>
          </w:p>
        </w:tc>
        <w:tc>
          <w:tcPr>
            <w:tcW w:type="dxa" w:w="2498"/>
            <w:vAlign w:val="top"/>
            <w:tcMar>
              <w:top w:w="80" w:type="dxa"/>
              <w:start w:w="90" w:type="dxa"/>
              <w:bottom w:w="80" w:type="dxa"/>
              <w:end w:w="90" w:type="dxa"/>
            </w:tcMar>
          </w:tcPr>
          <w:p>
            <w:pPr>
              <w:spacing w:after="0"/>
            </w:pPr>
            <w:r>
              <w:rPr>
                <w:sz w:val="17"/>
              </w:rPr>
              <w:t>Réponse coordonnée avec seuil et direction prédits par le modèle QED, non reproduite par une référence classique réaliste.</w:t>
            </w:r>
          </w:p>
        </w:tc>
        <w:tc>
          <w:tcPr>
            <w:tcW w:type="dxa" w:w="2498"/>
            <w:vAlign w:val="top"/>
            <w:tcMar>
              <w:top w:w="80" w:type="dxa"/>
              <w:start w:w="90" w:type="dxa"/>
              <w:bottom w:w="80" w:type="dxa"/>
              <w:end w:w="90" w:type="dxa"/>
            </w:tcMar>
          </w:tcPr>
          <w:p>
            <w:pPr>
              <w:spacing w:after="0"/>
            </w:pPr>
            <w:r>
              <w:rPr>
                <w:sz w:val="17"/>
              </w:rPr>
              <w:t>Électrofreezing entièrement reproduit sans variable cohérente QED.</w:t>
            </w:r>
          </w:p>
        </w:tc>
      </w:tr>
      <w:tr>
        <w:trPr>
          <w:cantSplit/>
        </w:trPr>
        <w:tc>
          <w:tcPr>
            <w:tcW w:type="dxa" w:w="2498"/>
            <w:vAlign w:val="top"/>
            <w:tcMar>
              <w:top w:w="80" w:type="dxa"/>
              <w:start w:w="90" w:type="dxa"/>
              <w:bottom w:w="80" w:type="dxa"/>
              <w:end w:w="90" w:type="dxa"/>
            </w:tcMar>
          </w:tcPr>
          <w:p>
            <w:pPr>
              <w:spacing w:after="0"/>
            </w:pPr>
            <w:r>
              <w:rPr>
                <w:sz w:val="17"/>
              </w:rPr>
              <w:t>T3 — Signature électronique</w:t>
            </w:r>
          </w:p>
        </w:tc>
        <w:tc>
          <w:tcPr>
            <w:tcW w:type="dxa" w:w="2498"/>
            <w:vAlign w:val="top"/>
            <w:tcMar>
              <w:top w:w="80" w:type="dxa"/>
              <w:start w:w="90" w:type="dxa"/>
              <w:bottom w:w="80" w:type="dxa"/>
              <w:end w:w="90" w:type="dxa"/>
            </w:tcMar>
          </w:tcPr>
          <w:p>
            <w:pPr>
              <w:spacing w:after="0"/>
            </w:pPr>
            <w:r>
              <w:rPr>
                <w:sz w:val="17"/>
              </w:rPr>
              <w:t>Dériver puis rechercher une conséquence spécifique du mélange GS/5d et du gap ~0,3 eV.</w:t>
            </w:r>
          </w:p>
        </w:tc>
        <w:tc>
          <w:tcPr>
            <w:tcW w:type="dxa" w:w="2498"/>
            <w:vAlign w:val="top"/>
            <w:tcMar>
              <w:top w:w="80" w:type="dxa"/>
              <w:start w:w="90" w:type="dxa"/>
              <w:bottom w:w="80" w:type="dxa"/>
              <w:end w:w="90" w:type="dxa"/>
            </w:tcMar>
          </w:tcPr>
          <w:p>
            <w:pPr>
              <w:spacing w:after="0"/>
            </w:pPr>
            <w:r>
              <w:rPr>
                <w:sz w:val="17"/>
              </w:rPr>
              <w:t>Une signature spectroscopique quantitative propre au mécanisme est observée.</w:t>
            </w:r>
          </w:p>
        </w:tc>
        <w:tc>
          <w:tcPr>
            <w:tcW w:type="dxa" w:w="2498"/>
            <w:vAlign w:val="top"/>
            <w:tcMar>
              <w:top w:w="80" w:type="dxa"/>
              <w:start w:w="90" w:type="dxa"/>
              <w:bottom w:w="80" w:type="dxa"/>
              <w:end w:w="90" w:type="dxa"/>
            </w:tcMar>
          </w:tcPr>
          <w:p>
            <w:pPr>
              <w:spacing w:after="0"/>
            </w:pPr>
            <w:r>
              <w:rPr>
                <w:sz w:val="17"/>
              </w:rPr>
              <w:t>Aucune signature propre ; les données s’expliquent sans état électronique collectif.</w:t>
            </w:r>
          </w:p>
        </w:tc>
      </w:tr>
      <w:tr>
        <w:trPr>
          <w:cantSplit/>
        </w:trPr>
        <w:tc>
          <w:tcPr>
            <w:tcW w:type="dxa" w:w="2498"/>
            <w:vAlign w:val="top"/>
            <w:tcMar>
              <w:top w:w="80" w:type="dxa"/>
              <w:start w:w="90" w:type="dxa"/>
              <w:bottom w:w="80" w:type="dxa"/>
              <w:end w:w="90" w:type="dxa"/>
            </w:tcMar>
          </w:tcPr>
          <w:p>
            <w:pPr>
              <w:spacing w:after="0"/>
            </w:pPr>
            <w:r>
              <w:rPr>
                <w:sz w:val="17"/>
              </w:rPr>
              <w:t>T4 — Fraction indépendante</w:t>
            </w:r>
          </w:p>
        </w:tc>
        <w:tc>
          <w:tcPr>
            <w:tcW w:type="dxa" w:w="2498"/>
            <w:vAlign w:val="top"/>
            <w:tcMar>
              <w:top w:w="80" w:type="dxa"/>
              <w:start w:w="90" w:type="dxa"/>
              <w:bottom w:w="80" w:type="dxa"/>
              <w:end w:w="90" w:type="dxa"/>
            </w:tcMar>
          </w:tcPr>
          <w:p>
            <w:pPr>
              <w:spacing w:after="0"/>
            </w:pPr>
            <w:r>
              <w:rPr>
                <w:sz w:val="17"/>
              </w:rPr>
              <w:t>Construire un estimateur expérimental de la fraction cohérente distinct des mêmes données servant au fit.</w:t>
            </w:r>
          </w:p>
        </w:tc>
        <w:tc>
          <w:tcPr>
            <w:tcW w:type="dxa" w:w="2498"/>
            <w:vAlign w:val="top"/>
            <w:tcMar>
              <w:top w:w="80" w:type="dxa"/>
              <w:start w:w="90" w:type="dxa"/>
              <w:bottom w:w="80" w:type="dxa"/>
              <w:end w:w="90" w:type="dxa"/>
            </w:tcMar>
          </w:tcPr>
          <w:p>
            <w:pPr>
              <w:spacing w:after="0"/>
            </w:pPr>
            <w:r>
              <w:rPr>
                <w:sz w:val="17"/>
              </w:rPr>
              <w:t>ϕexp(T,P,E) suit les prédictions du modèle sur un jeu hors ajustement.</w:t>
            </w:r>
          </w:p>
        </w:tc>
        <w:tc>
          <w:tcPr>
            <w:tcW w:type="dxa" w:w="2498"/>
            <w:vAlign w:val="top"/>
            <w:tcMar>
              <w:top w:w="80" w:type="dxa"/>
              <w:start w:w="90" w:type="dxa"/>
              <w:bottom w:w="80" w:type="dxa"/>
              <w:end w:w="90" w:type="dxa"/>
            </w:tcMar>
          </w:tcPr>
          <w:p>
            <w:pPr>
              <w:spacing w:after="0"/>
            </w:pPr>
            <w:r>
              <w:rPr>
                <w:sz w:val="17"/>
              </w:rPr>
              <w:t>La fraction ne peut être identifiée indépendamment ou varie de manière incompatible.</w:t>
            </w:r>
          </w:p>
        </w:tc>
      </w:tr>
      <w:tr>
        <w:trPr>
          <w:cantSplit/>
        </w:trPr>
        <w:tc>
          <w:tcPr>
            <w:tcW w:type="dxa" w:w="2498"/>
            <w:vAlign w:val="top"/>
            <w:tcMar>
              <w:top w:w="80" w:type="dxa"/>
              <w:start w:w="90" w:type="dxa"/>
              <w:bottom w:w="80" w:type="dxa"/>
              <w:end w:w="90" w:type="dxa"/>
            </w:tcMar>
          </w:tcPr>
          <w:p>
            <w:pPr>
              <w:spacing w:after="0"/>
            </w:pPr>
            <w:r>
              <w:rPr>
                <w:sz w:val="17"/>
              </w:rPr>
              <w:t>T5 — Modèle comparatif</w:t>
            </w:r>
          </w:p>
        </w:tc>
        <w:tc>
          <w:tcPr>
            <w:tcW w:type="dxa" w:w="2498"/>
            <w:vAlign w:val="top"/>
            <w:tcMar>
              <w:top w:w="80" w:type="dxa"/>
              <w:start w:w="90" w:type="dxa"/>
              <w:bottom w:w="80" w:type="dxa"/>
              <w:end w:w="90" w:type="dxa"/>
            </w:tcMar>
          </w:tcPr>
          <w:p>
            <w:pPr>
              <w:spacing w:after="0"/>
            </w:pPr>
            <w:r>
              <w:rPr>
                <w:sz w:val="17"/>
              </w:rPr>
              <w:t>Comparer QED et modèles conventionnels sur des observables tenues hors ajustement.</w:t>
            </w:r>
          </w:p>
        </w:tc>
        <w:tc>
          <w:tcPr>
            <w:tcW w:type="dxa" w:w="2498"/>
            <w:vAlign w:val="top"/>
            <w:tcMar>
              <w:top w:w="80" w:type="dxa"/>
              <w:start w:w="90" w:type="dxa"/>
              <w:bottom w:w="80" w:type="dxa"/>
              <w:end w:w="90" w:type="dxa"/>
            </w:tcMar>
          </w:tcPr>
          <w:p>
            <w:pPr>
              <w:spacing w:after="0"/>
            </w:pPr>
            <w:r>
              <w:rPr>
                <w:sz w:val="17"/>
              </w:rPr>
              <w:t>Gain prédictif net avec pénalité de complexité raisonnable.</w:t>
            </w:r>
          </w:p>
        </w:tc>
        <w:tc>
          <w:tcPr>
            <w:tcW w:type="dxa" w:w="2498"/>
            <w:vAlign w:val="top"/>
            <w:tcMar>
              <w:top w:w="80" w:type="dxa"/>
              <w:start w:w="90" w:type="dxa"/>
              <w:bottom w:w="80" w:type="dxa"/>
              <w:end w:w="90" w:type="dxa"/>
            </w:tcMar>
          </w:tcPr>
          <w:p>
            <w:pPr>
              <w:spacing w:after="0"/>
            </w:pPr>
            <w:r>
              <w:rPr>
                <w:sz w:val="17"/>
              </w:rPr>
              <w:t>Les modèles conventionnels égalent ou dépassent la prédiction sans degrés de liberté QED.</w:t>
            </w:r>
          </w:p>
        </w:tc>
      </w:tr>
      <w:tr>
        <w:trPr>
          <w:cantSplit/>
        </w:trPr>
        <w:tc>
          <w:tcPr>
            <w:tcW w:type="dxa" w:w="2498"/>
            <w:vAlign w:val="top"/>
            <w:tcMar>
              <w:top w:w="80" w:type="dxa"/>
              <w:start w:w="90" w:type="dxa"/>
              <w:bottom w:w="80" w:type="dxa"/>
              <w:end w:w="90" w:type="dxa"/>
            </w:tcMar>
          </w:tcPr>
          <w:p>
            <w:pPr>
              <w:spacing w:after="0"/>
            </w:pPr>
            <w:r>
              <w:rPr>
                <w:sz w:val="17"/>
              </w:rPr>
              <w:t>T6 — Couplage multi-observable</w:t>
            </w:r>
          </w:p>
        </w:tc>
        <w:tc>
          <w:tcPr>
            <w:tcW w:type="dxa" w:w="2498"/>
            <w:vAlign w:val="top"/>
            <w:tcMar>
              <w:top w:w="80" w:type="dxa"/>
              <w:start w:w="90" w:type="dxa"/>
              <w:bottom w:w="80" w:type="dxa"/>
              <w:end w:w="90" w:type="dxa"/>
            </w:tcMar>
          </w:tcPr>
          <w:p>
            <w:pPr>
              <w:spacing w:after="0"/>
            </w:pPr>
            <w:r>
              <w:rPr>
                <w:sz w:val="17"/>
              </w:rPr>
              <w:t>Mesurer D, ξ, τ, diélectrique, structure et thermodynamique sur le même balayage T/P/E.</w:t>
            </w:r>
          </w:p>
        </w:tc>
        <w:tc>
          <w:tcPr>
            <w:tcW w:type="dxa" w:w="2498"/>
            <w:vAlign w:val="top"/>
            <w:tcMar>
              <w:top w:w="80" w:type="dxa"/>
              <w:start w:w="90" w:type="dxa"/>
              <w:bottom w:w="80" w:type="dxa"/>
              <w:end w:w="90" w:type="dxa"/>
            </w:tcMar>
          </w:tcPr>
          <w:p>
            <w:pPr>
              <w:spacing w:after="0"/>
            </w:pPr>
            <w:r>
              <w:rPr>
                <w:sz w:val="17"/>
              </w:rPr>
              <w:t>Changements coordonnés compatibles avec une variable collective commune.</w:t>
            </w:r>
          </w:p>
        </w:tc>
        <w:tc>
          <w:tcPr>
            <w:tcW w:type="dxa" w:w="2498"/>
            <w:vAlign w:val="top"/>
            <w:tcMar>
              <w:top w:w="80" w:type="dxa"/>
              <w:start w:w="90" w:type="dxa"/>
              <w:bottom w:w="80" w:type="dxa"/>
              <w:end w:w="90" w:type="dxa"/>
            </w:tcMar>
          </w:tcPr>
          <w:p>
            <w:pPr>
              <w:spacing w:after="0"/>
            </w:pPr>
            <w:r>
              <w:rPr>
                <w:sz w:val="17"/>
              </w:rPr>
              <w:t>Anomalies non corrélées ou explicables chacune par des mécanismes distincts plus simples.</w:t>
            </w:r>
          </w:p>
        </w:tc>
      </w:tr>
    </w:tbl>
    <w:p/>
    <w:p>
      <w:pPr>
        <w:pStyle w:val="Heading1"/>
      </w:pPr>
      <w:r>
        <w:t>10. Carte Coda révisée</w:t>
      </w:r>
    </w:p>
    <w:tbl>
      <w:tblPr>
        <w:tblW w:type="auto" w:w="0"/>
        <w:jc w:val="center"/>
        <w:tblLayout w:type="autofit"/>
        <w:tblLook w:firstColumn="1" w:firstRow="1" w:lastColumn="0" w:lastRow="0" w:noHBand="0" w:noVBand="1" w:val="04A0"/>
      </w:tblPr>
      <w:tblGrid>
        <w:gridCol w:w="9994"/>
      </w:tblGrid>
      <w:tr>
        <w:trPr>
          <w:cantSplit/>
          <w:tblHeader/>
        </w:trPr>
        <w:tc>
          <w:tcPr>
            <w:tcW w:type="dxa" w:w="9994"/>
            <w:shd w:fill="F3EFE5"/>
            <w:tcMar>
              <w:top w:w="140" w:type="dxa"/>
              <w:start w:w="180" w:type="dxa"/>
              <w:bottom w:w="140" w:type="dxa"/>
              <w:end w:w="180" w:type="dxa"/>
            </w:tcMar>
          </w:tcPr>
          <w:p>
            <w:pPr>
              <w:pStyle w:val="Callout"/>
            </w:pPr>
            <w:r>
              <w:rPr>
                <w:b/>
              </w:rPr>
              <w:t>M_Coda^2.1 : (ω, T, P, ρ, E, confinement, interface, soluté) → (S, D, ξ, τ, A, F ; Q_N, Q_C^QED, Q_E)</w:t>
            </w:r>
          </w:p>
        </w:tc>
      </w:tr>
    </w:tbl>
    <w:p/>
    <w:p>
      <w:r>
        <w:t>Q_N désigne ici la contribution des effets quantiques nucléaires ; Q_C^QED une cohérence collective électronique/électromagnétique compatible avec le mécanisme De Ninno–Gamberale ; Q_E reste réservé à une éventuelle intrication démontrée par un critère propre.</w:t>
      </w:r>
    </w:p>
    <w:p>
      <w:r>
        <w:t>L’ajout de E et du confinement est crucial : le papier fournit désormais des perturbations qui ne sont plus seulement descriptives mais potentiellement causales.</w:t>
      </w:r>
    </w:p>
    <w:p>
      <w:pPr>
        <w:pStyle w:val="Heading1"/>
      </w:pPr>
      <w:r>
        <w:t>11. Questions désormais proposées à Luca</w:t>
      </w:r>
    </w:p>
    <w:p>
      <w:pPr>
        <w:pStyle w:val="ListNumber"/>
      </w:pPr>
      <w:r>
        <w:t>Dans votre théorie, quel observable considérez-vous comme le témoin le plus direct de la cohérence QED elle-même, et non simplement d’une structure LDL-like ?</w:t>
      </w:r>
    </w:p>
    <w:p>
      <w:pPr>
        <w:pStyle w:val="ListNumber"/>
      </w:pPr>
      <w:r>
        <w:t>Existe-t-il aujourd’hui un moyen expérimental d’estimer ϕvol ou ϕmol indépendamment des mêmes grandeurs thermodynamiques utilisées pour paramétrer le modèle ?</w:t>
      </w:r>
    </w:p>
    <w:p>
      <w:pPr>
        <w:pStyle w:val="ListNumber"/>
      </w:pPr>
      <w:r>
        <w:t>La longueur caractéristique ~38–50 nm doit-elle produire un seuil net sous confinement, ou seulement une tendance progressive ? Quelle fonction d’échelle prédisez-vous ?</w:t>
      </w:r>
    </w:p>
    <w:p>
      <w:pPr>
        <w:pStyle w:val="ListNumber"/>
      </w:pPr>
      <w:r>
        <w:t>Quelle signature spectroscopique quantitative découle spécifiquement du mélange |GS⟩ + |5d⟩ et du gap cohérent ~0,3 eV ?</w:t>
      </w:r>
    </w:p>
    <w:p>
      <w:pPr>
        <w:pStyle w:val="ListNumber"/>
      </w:pPr>
      <w:r>
        <w:t>Quel test hors ajustement choisiriez-vous pour départager votre modèle QED d’un modèle moderne à deux structures / many-body potential ?</w:t>
      </w:r>
    </w:p>
    <w:p>
      <w:pPr>
        <w:pStyle w:val="ListNumber"/>
      </w:pPr>
      <w:r>
        <w:t>Comment souhaitez-vous distinguer le mot « phase » au sens de votre fraction cohérente du sens strict de phase thermodynamique / branche de libre énergie ?</w:t>
      </w:r>
    </w:p>
    <w:p>
      <w:pPr>
        <w:pStyle w:val="ListNumber"/>
      </w:pPr>
      <w:r>
        <w:t>Concernant le champ électrique : quelle courbe ϕ(E,T) prédisez-vous et quel ordre de grandeur de E est réellement requis ?</w:t>
      </w:r>
    </w:p>
    <w:p>
      <w:pPr>
        <w:pStyle w:val="ListNumber"/>
      </w:pPr>
      <w:r>
        <w:t>Le passage biologique assimile 10⁵ V/m à 0,1 V Å⁻¹ ; or la conversion donne 10⁻⁵ V Å⁻¹. Considérez-vous ce passage comme une simple erreur d’unité, et quelle conséquence cela a-t-il sur l’argument biologique ?</w:t>
      </w:r>
    </w:p>
    <w:p>
      <w:pPr>
        <w:pStyle w:val="ListNumber"/>
      </w:pPr>
      <w:r>
        <w:t>Quel calcul ou quelle expérience accepteriez-vous vous-même comme réfutation nette de l’existence des CDs ?</w:t>
      </w:r>
    </w:p>
    <w:p>
      <w:pPr>
        <w:pStyle w:val="ListNumber"/>
      </w:pPr>
      <w:r>
        <w:t>Si une dynamique moléculaire conventionnelle reproduisait densité, Cp, compressibilité, diélectrique et électrofreezing sans variable QED, quelle observation minimale resterait, selon vous, nécessaire pour conserver H3-QED ?</w:t>
      </w:r>
    </w:p>
    <w:p>
      <w:pPr>
        <w:pStyle w:val="Heading1"/>
      </w:pPr>
      <w:r>
        <w:t>12. Décision de version</w:t>
      </w:r>
    </w:p>
    <w:p>
      <w:r>
        <w:t>CODA ATER v2.1 ne valide ni ne réfute le papier De Ninno–Gamberale. Il transforme ce papier en objet de confrontation explicite.</w:t>
      </w:r>
    </w:p>
    <w:p>
      <w:r>
        <w:t>La v2.0 reste utile comme contrat général de preuve. La v2.1 ajoute ce qui lui manquait : une théorie cible, des valeurs annoncées, des variables latentes à identifier, des perturbations causales et des critères de comparaison hors ajustement.</w:t>
      </w:r>
    </w:p>
    <w:tbl>
      <w:tblPr>
        <w:tblW w:type="auto" w:w="0"/>
        <w:jc w:val="center"/>
        <w:tblLayout w:type="autofit"/>
        <w:tblLook w:firstColumn="1" w:firstRow="1" w:lastColumn="0" w:lastRow="0" w:noHBand="0" w:noVBand="1" w:val="04A0"/>
      </w:tblPr>
      <w:tblGrid>
        <w:gridCol w:w="9994"/>
      </w:tblGrid>
      <w:tr>
        <w:trPr>
          <w:cantSplit/>
          <w:tblHeader/>
        </w:trPr>
        <w:tc>
          <w:tcPr>
            <w:tcW w:type="dxa" w:w="9994"/>
            <w:shd w:fill="F3EFE5"/>
            <w:tcMar>
              <w:top w:w="140" w:type="dxa"/>
              <w:start w:w="180" w:type="dxa"/>
              <w:bottom w:w="140" w:type="dxa"/>
              <w:end w:w="180" w:type="dxa"/>
            </w:tcMar>
          </w:tcPr>
          <w:p>
            <w:pPr>
              <w:pStyle w:val="Callout"/>
            </w:pPr>
            <w:r>
              <w:rPr>
                <w:b/>
              </w:rPr>
              <w:t>Sceau v2.1 : une théorie n’est pas renforcée parce que plusieurs observations sont compatibles avec elle ; elle est renforcée lorsqu’elle prédit une signature que les explications concurrentes ne reproduisent pas avec la même économie d’hypothèses.</w:t>
            </w:r>
          </w:p>
        </w:tc>
      </w:tr>
    </w:tbl>
    <w:p/>
    <w:p>
      <w:r>
        <w:t>Étape suivante proposée : soumettre cette note à Luca avant toute nouvelle intégration dans CODA ATER complet. Son retour doit déterminer quelles prédictions sont réellement revendiquées par lui et lesquelles nous avons seulement inférées de son papier.</w:t>
      </w:r>
    </w:p>
    <w:p>
      <w:pPr>
        <w:pStyle w:val="Heading1"/>
      </w:pPr>
      <w:r>
        <w:t>Références principales</w:t>
      </w:r>
    </w:p>
    <w:p>
      <w:pPr/>
      <w:r>
        <w:t>1. De Ninno, A.; Gamberale, L. « A Coherent Electrodynamics Theory of Liquid Water ». Liquids, publié le 5 novembre 2025. DOI: 10.3390/liquids5040030.</w:t>
      </w:r>
    </w:p>
    <w:p>
      <w:pPr/>
      <w:r>
        <w:t>2. CODA ATER — Version II — Seuils collectifs de l’eau, v2.0, Michel Vandenberghe &amp; ZEON, 8 septembre 2026.</w:t>
      </w:r>
    </w:p>
    <w:p>
      <w:pPr/>
      <w:r>
        <w:t>3. CODA ATER — Zeon technology, juin 2025, document source conservé en fac-similé dans la v2.0.</w:t>
      </w:r>
    </w:p>
    <w:sectPr w:rsidR="00FC693F" w:rsidRPr="0006063C" w:rsidSect="00034616">
      <w:footerReference w:type="default" r:id="rId9"/>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CODA ATER v2.1 · Confrontation De Ninno–Gamberale 2025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00" w:after="160"/>
      <w:ind w:left="259" w:right="259"/>
    </w:pPr>
    <w:rPr>
      <w:rFonts w:ascii="Aptos" w:hAnsi="Aptos"/>
      <w:b w:val="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